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8DB88" w14:textId="77777777" w:rsidR="008B560E" w:rsidRDefault="008B560E" w:rsidP="007F78A7">
      <w:pPr>
        <w:jc w:val="center"/>
        <w:rPr>
          <w:b/>
          <w:sz w:val="28"/>
          <w:szCs w:val="28"/>
        </w:rPr>
      </w:pPr>
    </w:p>
    <w:p w14:paraId="51449F40" w14:textId="509E4A31" w:rsidR="00747153" w:rsidRDefault="00FB4F46" w:rsidP="00747153">
      <w:pPr>
        <w:spacing w:after="120"/>
        <w:jc w:val="center"/>
        <w:rPr>
          <w:b/>
          <w:sz w:val="24"/>
          <w:szCs w:val="24"/>
        </w:rPr>
      </w:pPr>
      <w:r w:rsidRPr="00D51934">
        <w:rPr>
          <w:b/>
          <w:sz w:val="24"/>
          <w:szCs w:val="24"/>
        </w:rPr>
        <w:t xml:space="preserve">Tisková zpráva </w:t>
      </w:r>
      <w:r w:rsidR="003F0F91" w:rsidRPr="00D51934">
        <w:rPr>
          <w:b/>
          <w:sz w:val="24"/>
          <w:szCs w:val="24"/>
        </w:rPr>
        <w:t>Platformy proti hlubinnému úložišti</w:t>
      </w:r>
    </w:p>
    <w:p w14:paraId="39FC54A1" w14:textId="65D8E9E9" w:rsidR="00C6155A" w:rsidRPr="00D51934" w:rsidRDefault="007D7B6E" w:rsidP="00D51934">
      <w:pPr>
        <w:jc w:val="center"/>
        <w:rPr>
          <w:b/>
          <w:sz w:val="24"/>
          <w:szCs w:val="24"/>
        </w:rPr>
      </w:pPr>
      <w:r w:rsidRPr="00D51934">
        <w:rPr>
          <w:b/>
          <w:sz w:val="24"/>
          <w:szCs w:val="24"/>
        </w:rPr>
        <w:t>z</w:t>
      </w:r>
      <w:r w:rsidR="00F9763F">
        <w:rPr>
          <w:b/>
          <w:sz w:val="24"/>
          <w:szCs w:val="24"/>
        </w:rPr>
        <w:t xml:space="preserve"> 2. </w:t>
      </w:r>
      <w:r w:rsidR="00926769">
        <w:rPr>
          <w:b/>
          <w:sz w:val="24"/>
          <w:szCs w:val="24"/>
        </w:rPr>
        <w:t xml:space="preserve">března </w:t>
      </w:r>
      <w:r w:rsidR="0032525E">
        <w:rPr>
          <w:b/>
          <w:sz w:val="24"/>
          <w:szCs w:val="24"/>
        </w:rPr>
        <w:t>2018</w:t>
      </w:r>
    </w:p>
    <w:p w14:paraId="2732F167" w14:textId="2E9CC241" w:rsidR="00FF6604" w:rsidRPr="00925304" w:rsidRDefault="00A8196A" w:rsidP="00926769">
      <w:pPr>
        <w:spacing w:after="0"/>
        <w:jc w:val="center"/>
        <w:rPr>
          <w:b/>
          <w:sz w:val="26"/>
          <w:szCs w:val="26"/>
        </w:rPr>
      </w:pPr>
      <w:r w:rsidRPr="00925304">
        <w:rPr>
          <w:b/>
          <w:sz w:val="26"/>
          <w:szCs w:val="26"/>
        </w:rPr>
        <w:t>R</w:t>
      </w:r>
      <w:r w:rsidR="00926769" w:rsidRPr="00925304">
        <w:rPr>
          <w:b/>
          <w:sz w:val="26"/>
          <w:szCs w:val="26"/>
        </w:rPr>
        <w:t>ozhodnutí o průzkumn</w:t>
      </w:r>
      <w:r w:rsidRPr="00925304">
        <w:rPr>
          <w:b/>
          <w:sz w:val="26"/>
          <w:szCs w:val="26"/>
        </w:rPr>
        <w:t xml:space="preserve">ých </w:t>
      </w:r>
      <w:r w:rsidR="00926769" w:rsidRPr="00925304">
        <w:rPr>
          <w:b/>
          <w:sz w:val="26"/>
          <w:szCs w:val="26"/>
        </w:rPr>
        <w:t>území</w:t>
      </w:r>
      <w:r w:rsidR="00925304" w:rsidRPr="00925304">
        <w:rPr>
          <w:b/>
          <w:sz w:val="26"/>
          <w:szCs w:val="26"/>
        </w:rPr>
        <w:t>ch</w:t>
      </w:r>
      <w:r w:rsidR="00926769" w:rsidRPr="00925304">
        <w:rPr>
          <w:b/>
          <w:sz w:val="26"/>
          <w:szCs w:val="26"/>
        </w:rPr>
        <w:t xml:space="preserve"> pro úložiště </w:t>
      </w:r>
      <w:r w:rsidRPr="00925304">
        <w:rPr>
          <w:b/>
          <w:sz w:val="26"/>
          <w:szCs w:val="26"/>
        </w:rPr>
        <w:t xml:space="preserve">Horka a </w:t>
      </w:r>
      <w:r w:rsidR="00926769" w:rsidRPr="00925304">
        <w:rPr>
          <w:b/>
          <w:sz w:val="26"/>
          <w:szCs w:val="26"/>
        </w:rPr>
        <w:t>Kraví hora zrušil soud</w:t>
      </w:r>
    </w:p>
    <w:p w14:paraId="074CB00C" w14:textId="66D18B85" w:rsidR="00926769" w:rsidRPr="00FF6604" w:rsidRDefault="002C728C" w:rsidP="0092676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Správa úložišť by měla zastavit </w:t>
      </w:r>
      <w:r w:rsidR="00AE026E">
        <w:rPr>
          <w:b/>
          <w:sz w:val="24"/>
          <w:szCs w:val="24"/>
        </w:rPr>
        <w:t xml:space="preserve">dnešní způsob </w:t>
      </w:r>
      <w:r>
        <w:rPr>
          <w:b/>
          <w:sz w:val="24"/>
          <w:szCs w:val="24"/>
        </w:rPr>
        <w:t xml:space="preserve">hledání úložiště </w:t>
      </w:r>
      <w:r w:rsidR="00FA6F57">
        <w:rPr>
          <w:b/>
          <w:sz w:val="24"/>
          <w:szCs w:val="24"/>
        </w:rPr>
        <w:t>na všech lokalitách</w:t>
      </w:r>
    </w:p>
    <w:p w14:paraId="480E53F1" w14:textId="77777777" w:rsidR="00F55CD6" w:rsidRPr="00FB4F46" w:rsidRDefault="00F55CD6" w:rsidP="00FB4F46">
      <w:pPr>
        <w:spacing w:after="0"/>
        <w:jc w:val="center"/>
        <w:rPr>
          <w:b/>
          <w:sz w:val="32"/>
          <w:szCs w:val="32"/>
        </w:rPr>
      </w:pPr>
    </w:p>
    <w:p w14:paraId="657AF486" w14:textId="7CC2EA42" w:rsidR="00956138" w:rsidRDefault="00926769" w:rsidP="00BA4958">
      <w:pPr>
        <w:spacing w:after="120" w:line="240" w:lineRule="auto"/>
        <w:jc w:val="both"/>
        <w:rPr>
          <w:b/>
        </w:rPr>
      </w:pPr>
      <w:r>
        <w:rPr>
          <w:b/>
        </w:rPr>
        <w:t xml:space="preserve">Městský soud v Praze rozhodl o </w:t>
      </w:r>
      <w:r w:rsidR="00A8196A">
        <w:rPr>
          <w:b/>
        </w:rPr>
        <w:t>prvních žalobách</w:t>
      </w:r>
      <w:r>
        <w:rPr>
          <w:b/>
        </w:rPr>
        <w:t xml:space="preserve"> </w:t>
      </w:r>
      <w:r w:rsidR="002C728C">
        <w:rPr>
          <w:b/>
        </w:rPr>
        <w:t xml:space="preserve">obcí a spolků </w:t>
      </w:r>
      <w:r>
        <w:rPr>
          <w:b/>
        </w:rPr>
        <w:t>ve věci platnosti průzkumn</w:t>
      </w:r>
      <w:r w:rsidR="00A8196A">
        <w:rPr>
          <w:b/>
        </w:rPr>
        <w:t xml:space="preserve">ých </w:t>
      </w:r>
      <w:r>
        <w:rPr>
          <w:b/>
        </w:rPr>
        <w:t xml:space="preserve">území pro geologické práce pro </w:t>
      </w:r>
      <w:r w:rsidR="002C728C">
        <w:rPr>
          <w:b/>
        </w:rPr>
        <w:t xml:space="preserve">vyhledávání hlubinného úložiště. </w:t>
      </w:r>
      <w:r w:rsidR="002C6B5E">
        <w:rPr>
          <w:b/>
        </w:rPr>
        <w:t xml:space="preserve">Rozsudkem z </w:t>
      </w:r>
      <w:r w:rsidR="00FF6604">
        <w:rPr>
          <w:b/>
        </w:rPr>
        <w:t>27. února</w:t>
      </w:r>
      <w:r>
        <w:rPr>
          <w:b/>
        </w:rPr>
        <w:t xml:space="preserve"> rozhodnutí ministra životního prostředí </w:t>
      </w:r>
      <w:r w:rsidR="00A8196A">
        <w:rPr>
          <w:b/>
        </w:rPr>
        <w:t>pro lokality</w:t>
      </w:r>
      <w:r>
        <w:rPr>
          <w:b/>
        </w:rPr>
        <w:t xml:space="preserve"> </w:t>
      </w:r>
      <w:r w:rsidR="002C728C">
        <w:rPr>
          <w:b/>
        </w:rPr>
        <w:t xml:space="preserve">Horka a Kraví hora </w:t>
      </w:r>
      <w:r>
        <w:rPr>
          <w:b/>
        </w:rPr>
        <w:t>zrušil</w:t>
      </w:r>
      <w:r w:rsidR="00956138">
        <w:rPr>
          <w:b/>
        </w:rPr>
        <w:t xml:space="preserve"> </w:t>
      </w:r>
      <w:r w:rsidR="00956138" w:rsidRPr="002625A5">
        <w:rPr>
          <w:rFonts w:cs="Arial"/>
        </w:rPr>
        <w:t>[</w:t>
      </w:r>
      <w:r w:rsidR="00956138">
        <w:rPr>
          <w:rFonts w:cs="Arial"/>
        </w:rPr>
        <w:t>1</w:t>
      </w:r>
      <w:r w:rsidR="00A8196A">
        <w:rPr>
          <w:rFonts w:cs="Arial"/>
        </w:rPr>
        <w:t>, 2</w:t>
      </w:r>
      <w:r w:rsidR="00956138" w:rsidRPr="002625A5">
        <w:rPr>
          <w:rFonts w:cs="Arial"/>
        </w:rPr>
        <w:t>]</w:t>
      </w:r>
      <w:r>
        <w:rPr>
          <w:b/>
        </w:rPr>
        <w:t>.</w:t>
      </w:r>
      <w:r w:rsidR="000D60FE">
        <w:rPr>
          <w:b/>
        </w:rPr>
        <w:t xml:space="preserve"> Jiný senát téhož soudu naopak 1. března žalobu </w:t>
      </w:r>
      <w:r w:rsidR="002C728C">
        <w:rPr>
          <w:b/>
        </w:rPr>
        <w:t>týkající se</w:t>
      </w:r>
      <w:r w:rsidR="000D60FE">
        <w:rPr>
          <w:b/>
        </w:rPr>
        <w:t xml:space="preserve"> průzkumného území Čihadlo zamítl</w:t>
      </w:r>
      <w:r w:rsidR="00766429">
        <w:rPr>
          <w:b/>
        </w:rPr>
        <w:t xml:space="preserve"> </w:t>
      </w:r>
      <w:r w:rsidR="00766429" w:rsidRPr="002625A5">
        <w:rPr>
          <w:rFonts w:cs="Arial"/>
        </w:rPr>
        <w:t>[</w:t>
      </w:r>
      <w:r w:rsidR="00A8196A">
        <w:rPr>
          <w:rFonts w:cs="Arial"/>
        </w:rPr>
        <w:t>3</w:t>
      </w:r>
      <w:r w:rsidR="00766429" w:rsidRPr="002625A5">
        <w:rPr>
          <w:rFonts w:cs="Arial"/>
        </w:rPr>
        <w:t>]</w:t>
      </w:r>
      <w:r w:rsidR="000D60FE">
        <w:rPr>
          <w:b/>
        </w:rPr>
        <w:t>. Na roz</w:t>
      </w:r>
      <w:r w:rsidR="002C6B5E">
        <w:rPr>
          <w:b/>
        </w:rPr>
        <w:t xml:space="preserve">sudky </w:t>
      </w:r>
      <w:r w:rsidR="00FF6604">
        <w:rPr>
          <w:b/>
        </w:rPr>
        <w:t xml:space="preserve">od roku 2015 čekají žaloby proti stanovení </w:t>
      </w:r>
      <w:r w:rsidR="002C6B5E">
        <w:rPr>
          <w:b/>
        </w:rPr>
        <w:t xml:space="preserve">ještě </w:t>
      </w:r>
      <w:r w:rsidR="00FF6604">
        <w:rPr>
          <w:b/>
        </w:rPr>
        <w:t xml:space="preserve">dalších </w:t>
      </w:r>
      <w:r w:rsidR="00A8196A">
        <w:rPr>
          <w:b/>
        </w:rPr>
        <w:t>čtyř</w:t>
      </w:r>
      <w:r w:rsidR="00FF6604">
        <w:rPr>
          <w:b/>
        </w:rPr>
        <w:t xml:space="preserve"> průzkumných území Březový potok, Čertovka, Hrádek a Magdaléna. Celkem žalobu proti rozhodnutí ministra životního prostředí podalo </w:t>
      </w:r>
      <w:r w:rsidR="00FF6604" w:rsidRPr="0027649D">
        <w:rPr>
          <w:b/>
        </w:rPr>
        <w:t>18 obcí a 6 spolků</w:t>
      </w:r>
      <w:r w:rsidR="00FF6604">
        <w:rPr>
          <w:b/>
        </w:rPr>
        <w:t xml:space="preserve">. </w:t>
      </w:r>
    </w:p>
    <w:p w14:paraId="57DF7236" w14:textId="46303FFE" w:rsidR="004A442B" w:rsidRPr="00956138" w:rsidRDefault="00FF6604" w:rsidP="00BA4958">
      <w:pPr>
        <w:spacing w:after="120" w:line="240" w:lineRule="auto"/>
        <w:jc w:val="both"/>
      </w:pPr>
      <w:r w:rsidRPr="00956138">
        <w:t xml:space="preserve">Platnost všech průzkumných území </w:t>
      </w:r>
      <w:r w:rsidR="0027649D" w:rsidRPr="00956138">
        <w:t>vypršela s koncem roku 2016</w:t>
      </w:r>
      <w:r w:rsidRPr="00956138">
        <w:t xml:space="preserve">, aniž by Správa úložišť radioaktivních odpadů </w:t>
      </w:r>
      <w:r w:rsidR="00956138">
        <w:t xml:space="preserve">(SÚRAO) </w:t>
      </w:r>
      <w:r w:rsidRPr="00956138">
        <w:t>dokáz</w:t>
      </w:r>
      <w:r w:rsidR="00956138">
        <w:t>ala uskutečnit</w:t>
      </w:r>
      <w:r w:rsidRPr="00956138">
        <w:t xml:space="preserve"> naplánované geologick</w:t>
      </w:r>
      <w:r w:rsidR="00956138" w:rsidRPr="00956138">
        <w:t>é práce. P</w:t>
      </w:r>
      <w:r w:rsidRPr="00956138">
        <w:t>ro rozhodný odpor</w:t>
      </w:r>
      <w:r w:rsidR="00A8196A">
        <w:t xml:space="preserve"> v dotčených lokalitách nebyla </w:t>
      </w:r>
      <w:r w:rsidR="00956138">
        <w:t xml:space="preserve">platnost </w:t>
      </w:r>
      <w:r w:rsidR="00A8196A">
        <w:t xml:space="preserve">průzkumných území </w:t>
      </w:r>
      <w:r w:rsidR="00956138">
        <w:t>prodloužena a SÚRAO nakonec své žádosti stáhlo.</w:t>
      </w:r>
    </w:p>
    <w:p w14:paraId="527B09F7" w14:textId="0519E7D8" w:rsidR="00956138" w:rsidRPr="00747153" w:rsidRDefault="006C31A0" w:rsidP="00BA495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 letošním roce má dojít ke snížení počtu zvažovaných lokalit z devíti (v minulých letech k původním sedmi v tichosti přibyly další dvě poblíž jaderných elektráren Temelín a Dukovany) na čtyři. </w:t>
      </w:r>
      <w:r w:rsidR="00C44487">
        <w:rPr>
          <w:rFonts w:cstheme="minorHAnsi"/>
        </w:rPr>
        <w:t>P</w:t>
      </w:r>
      <w:r w:rsidR="002E6267">
        <w:rPr>
          <w:rFonts w:cstheme="minorHAnsi"/>
        </w:rPr>
        <w:t>ůvodně p</w:t>
      </w:r>
      <w:r w:rsidR="00C44487">
        <w:rPr>
          <w:rFonts w:cstheme="minorHAnsi"/>
        </w:rPr>
        <w:t xml:space="preserve">lánovaný objem geologických dat pro toto rozhodnutí se </w:t>
      </w:r>
      <w:r w:rsidR="00956138">
        <w:rPr>
          <w:rFonts w:cstheme="minorHAnsi"/>
        </w:rPr>
        <w:t xml:space="preserve">ale </w:t>
      </w:r>
      <w:r w:rsidR="00C44487">
        <w:rPr>
          <w:rFonts w:cstheme="minorHAnsi"/>
        </w:rPr>
        <w:t>SÚRAO nepodařilo získat</w:t>
      </w:r>
      <w:r w:rsidR="00956138">
        <w:rPr>
          <w:rFonts w:cstheme="minorHAnsi"/>
        </w:rPr>
        <w:t>.</w:t>
      </w:r>
      <w:r w:rsidR="00C44487">
        <w:rPr>
          <w:rFonts w:cstheme="minorHAnsi"/>
        </w:rPr>
        <w:t xml:space="preserve"> </w:t>
      </w:r>
      <w:r w:rsidR="00FA6F57">
        <w:rPr>
          <w:rFonts w:cstheme="minorHAnsi"/>
        </w:rPr>
        <w:t xml:space="preserve">Data z geologických průzkumů, které nebyly povoleny v souladu se zákonem, by také nyní neměla používat.  </w:t>
      </w:r>
      <w:r w:rsidR="002E6267">
        <w:rPr>
          <w:rFonts w:cstheme="minorHAnsi"/>
        </w:rPr>
        <w:t xml:space="preserve">Platforma proti hlubinnému úložišti požaduje zastavení takto </w:t>
      </w:r>
      <w:r w:rsidR="003C200D">
        <w:rPr>
          <w:rFonts w:cstheme="minorHAnsi"/>
        </w:rPr>
        <w:t xml:space="preserve">vedeného výběru, ve kterém </w:t>
      </w:r>
      <w:r w:rsidR="00FB603F">
        <w:rPr>
          <w:rFonts w:cstheme="minorHAnsi"/>
        </w:rPr>
        <w:t>byla ztracena důvěra v postup státních úřadů.</w:t>
      </w:r>
    </w:p>
    <w:p w14:paraId="7993D356" w14:textId="40DF3E74" w:rsidR="007E30AA" w:rsidRPr="00883191" w:rsidRDefault="005B692B" w:rsidP="00BA4958">
      <w:pPr>
        <w:spacing w:line="240" w:lineRule="auto"/>
        <w:jc w:val="both"/>
      </w:pPr>
      <w:r>
        <w:t xml:space="preserve">Petr </w:t>
      </w:r>
      <w:proofErr w:type="spellStart"/>
      <w:r>
        <w:t>Nohava</w:t>
      </w:r>
      <w:proofErr w:type="spellEnd"/>
      <w:r w:rsidR="0052446A" w:rsidRPr="00BA5755">
        <w:t xml:space="preserve">, mluvčí Platformy proti hlubinnému úložišti řekl: </w:t>
      </w:r>
      <w:r>
        <w:rPr>
          <w:i/>
        </w:rPr>
        <w:t>„</w:t>
      </w:r>
      <w:r w:rsidR="00883191" w:rsidRPr="00883191">
        <w:rPr>
          <w:i/>
        </w:rPr>
        <w:t>Rozhodnutí soudu potvrzuje, že proces hledání úložiště není tak nablýskaný, jak jej prezentuje SÚRAO. Naopak, loupe se z něj barva, až to pěkné není a v plné nahotě se ukazuje nekonce</w:t>
      </w:r>
      <w:r w:rsidR="00E42847">
        <w:rPr>
          <w:i/>
        </w:rPr>
        <w:t xml:space="preserve">pční </w:t>
      </w:r>
      <w:r w:rsidR="0068254D">
        <w:rPr>
          <w:i/>
        </w:rPr>
        <w:t>přístup státu.“</w:t>
      </w:r>
      <w:r w:rsidR="00E42847">
        <w:rPr>
          <w:i/>
        </w:rPr>
        <w:t xml:space="preserve"> </w:t>
      </w:r>
    </w:p>
    <w:p w14:paraId="331C0367" w14:textId="66E6F647" w:rsidR="00956138" w:rsidRDefault="00956138" w:rsidP="00BA4958">
      <w:pPr>
        <w:spacing w:after="120" w:line="240" w:lineRule="auto"/>
        <w:jc w:val="both"/>
        <w:rPr>
          <w:i/>
        </w:rPr>
      </w:pPr>
      <w:r w:rsidRPr="00956138">
        <w:t xml:space="preserve">Edvard </w:t>
      </w:r>
      <w:r w:rsidR="00A8196A">
        <w:t xml:space="preserve">Sequens, předseda spolku </w:t>
      </w:r>
      <w:proofErr w:type="spellStart"/>
      <w:r w:rsidR="00A8196A">
        <w:t>Calla</w:t>
      </w:r>
      <w:proofErr w:type="spellEnd"/>
      <w:r w:rsidR="00A8196A">
        <w:t xml:space="preserve"> </w:t>
      </w:r>
      <w:r>
        <w:t>doplnil</w:t>
      </w:r>
      <w:r w:rsidRPr="00956138">
        <w:t>:</w:t>
      </w:r>
      <w:r>
        <w:rPr>
          <w:i/>
        </w:rPr>
        <w:t xml:space="preserve"> „Zrušení platnosti průzkumného území na</w:t>
      </w:r>
      <w:r w:rsidR="00A8196A">
        <w:rPr>
          <w:i/>
        </w:rPr>
        <w:t xml:space="preserve"> dv</w:t>
      </w:r>
      <w:r w:rsidR="00925304">
        <w:rPr>
          <w:i/>
        </w:rPr>
        <w:t>o</w:t>
      </w:r>
      <w:r w:rsidR="00A8196A">
        <w:rPr>
          <w:i/>
        </w:rPr>
        <w:t>u lokalitách</w:t>
      </w:r>
      <w:r>
        <w:rPr>
          <w:i/>
        </w:rPr>
        <w:t xml:space="preserve"> </w:t>
      </w:r>
      <w:r w:rsidR="00766429">
        <w:rPr>
          <w:i/>
        </w:rPr>
        <w:t xml:space="preserve">vnáší další problém do </w:t>
      </w:r>
      <w:r w:rsidR="00A8196A">
        <w:rPr>
          <w:i/>
        </w:rPr>
        <w:t xml:space="preserve">problematiky vyhledávání vhodného místa </w:t>
      </w:r>
      <w:r w:rsidR="00766429">
        <w:rPr>
          <w:i/>
        </w:rPr>
        <w:t xml:space="preserve">pro hlubinné úložiště. </w:t>
      </w:r>
      <w:r w:rsidR="00FA6F57">
        <w:rPr>
          <w:i/>
        </w:rPr>
        <w:t xml:space="preserve">Používat takto získaná data při výběru by nebylo </w:t>
      </w:r>
      <w:proofErr w:type="spellStart"/>
      <w:r w:rsidR="00FA6F57">
        <w:rPr>
          <w:i/>
        </w:rPr>
        <w:t>fér</w:t>
      </w:r>
      <w:proofErr w:type="spellEnd"/>
      <w:r w:rsidR="00FA6F57">
        <w:rPr>
          <w:i/>
        </w:rPr>
        <w:t>.</w:t>
      </w:r>
      <w:r w:rsidR="00766429">
        <w:rPr>
          <w:i/>
        </w:rPr>
        <w:t xml:space="preserve"> Už roky říkáme, že </w:t>
      </w:r>
      <w:r w:rsidR="00925304">
        <w:rPr>
          <w:i/>
        </w:rPr>
        <w:t>je nutné</w:t>
      </w:r>
      <w:r w:rsidR="00766429">
        <w:rPr>
          <w:i/>
        </w:rPr>
        <w:t xml:space="preserve"> nejprve jasně dohodnout pravidla a </w:t>
      </w:r>
      <w:r w:rsidR="00A8196A">
        <w:rPr>
          <w:i/>
        </w:rPr>
        <w:t xml:space="preserve">pak </w:t>
      </w:r>
      <w:r w:rsidR="00766429">
        <w:rPr>
          <w:i/>
        </w:rPr>
        <w:t xml:space="preserve">vést </w:t>
      </w:r>
      <w:r w:rsidR="000A1B91">
        <w:rPr>
          <w:i/>
        </w:rPr>
        <w:t>transparen</w:t>
      </w:r>
      <w:bookmarkStart w:id="0" w:name="_GoBack"/>
      <w:bookmarkEnd w:id="0"/>
      <w:r w:rsidR="000A1B91">
        <w:rPr>
          <w:i/>
        </w:rPr>
        <w:t>tní proces hledání</w:t>
      </w:r>
      <w:r w:rsidR="00766429">
        <w:rPr>
          <w:i/>
        </w:rPr>
        <w:t xml:space="preserve">. </w:t>
      </w:r>
      <w:r w:rsidR="00A8196A">
        <w:rPr>
          <w:i/>
        </w:rPr>
        <w:t>Neděje se ani jedno</w:t>
      </w:r>
      <w:r w:rsidR="00766429">
        <w:rPr>
          <w:i/>
        </w:rPr>
        <w:t>.“</w:t>
      </w:r>
      <w:r>
        <w:rPr>
          <w:i/>
        </w:rPr>
        <w:t xml:space="preserve"> </w:t>
      </w:r>
    </w:p>
    <w:p w14:paraId="26ACA25E" w14:textId="10709D82" w:rsidR="002A0BA2" w:rsidRPr="00590E7E" w:rsidRDefault="007F78A7" w:rsidP="00BA4958">
      <w:pPr>
        <w:spacing w:after="240" w:line="240" w:lineRule="auto"/>
        <w:jc w:val="both"/>
      </w:pPr>
      <w:r w:rsidRPr="00A531A0">
        <w:rPr>
          <w:b/>
        </w:rPr>
        <w:t>Platforma proti</w:t>
      </w:r>
      <w:r w:rsidR="005B692B" w:rsidRPr="00A531A0">
        <w:rPr>
          <w:b/>
        </w:rPr>
        <w:t xml:space="preserve"> hlubinnému úložišti</w:t>
      </w:r>
      <w:r w:rsidR="005B692B">
        <w:t xml:space="preserve"> sdružuje 35 členů (23</w:t>
      </w:r>
      <w:r>
        <w:t xml:space="preserve"> obcí a měst a 12 spolků</w:t>
      </w:r>
      <w:r w:rsidR="005B692B">
        <w:t>)</w:t>
      </w:r>
      <w:r>
        <w:t xml:space="preserve"> za účelem prosazování takového</w:t>
      </w:r>
      <w:r w:rsidRPr="007F78A7">
        <w:t xml:space="preserve"> způsob</w:t>
      </w:r>
      <w:r>
        <w:t>u</w:t>
      </w:r>
      <w:r w:rsidRPr="007F78A7">
        <w:t xml:space="preserve"> hledání řešení problému vyhořelého jaderného paliva a radioaktivních odpadů, který bude otevřený, průhledný a v němž obce a veřejnost budou mít zákony dostatečně garantované možnosti hájit své oprávněné zájmy.</w:t>
      </w:r>
      <w:r>
        <w:t xml:space="preserve"> </w:t>
      </w:r>
      <w:hyperlink r:id="rId7" w:history="1">
        <w:r w:rsidRPr="001F78BB">
          <w:rPr>
            <w:rStyle w:val="Hypertextovodkaz"/>
          </w:rPr>
          <w:t>www.platformaprotiulozisti.cz</w:t>
        </w:r>
      </w:hyperlink>
      <w:r>
        <w:t xml:space="preserve"> </w:t>
      </w:r>
    </w:p>
    <w:p w14:paraId="6B87276D" w14:textId="73012435" w:rsidR="0052446A" w:rsidRPr="00BA5755" w:rsidRDefault="0052446A" w:rsidP="00BA4958">
      <w:pPr>
        <w:spacing w:after="80" w:line="240" w:lineRule="auto"/>
        <w:rPr>
          <w:b/>
          <w:bCs/>
          <w:u w:val="single"/>
        </w:rPr>
      </w:pPr>
      <w:r w:rsidRPr="00BA5755">
        <w:rPr>
          <w:b/>
          <w:bCs/>
          <w:u w:val="single"/>
        </w:rPr>
        <w:t>Další informace m</w:t>
      </w:r>
      <w:r w:rsidR="00BA4958">
        <w:rPr>
          <w:b/>
          <w:bCs/>
          <w:u w:val="single"/>
        </w:rPr>
        <w:t>ohou</w:t>
      </w:r>
      <w:r w:rsidR="003205AB">
        <w:rPr>
          <w:b/>
          <w:bCs/>
          <w:u w:val="single"/>
        </w:rPr>
        <w:t xml:space="preserve"> </w:t>
      </w:r>
      <w:r w:rsidRPr="00BA5755">
        <w:rPr>
          <w:b/>
          <w:bCs/>
          <w:u w:val="single"/>
        </w:rPr>
        <w:t xml:space="preserve">poskytnout: </w:t>
      </w:r>
    </w:p>
    <w:p w14:paraId="566F1809" w14:textId="77777777" w:rsidR="00B42A4D" w:rsidRDefault="005B692B" w:rsidP="00BA4958">
      <w:pPr>
        <w:spacing w:after="0" w:line="240" w:lineRule="auto"/>
        <w:rPr>
          <w:bCs/>
        </w:rPr>
      </w:pPr>
      <w:r w:rsidRPr="005B692B">
        <w:rPr>
          <w:b/>
          <w:bCs/>
        </w:rPr>
        <w:t xml:space="preserve">Ing. Petr </w:t>
      </w:r>
      <w:proofErr w:type="spellStart"/>
      <w:r w:rsidRPr="005B692B">
        <w:rPr>
          <w:b/>
          <w:bCs/>
        </w:rPr>
        <w:t>Nohava</w:t>
      </w:r>
      <w:proofErr w:type="spellEnd"/>
      <w:r w:rsidRPr="005B692B">
        <w:rPr>
          <w:bCs/>
        </w:rPr>
        <w:t xml:space="preserve">, starosta obce </w:t>
      </w:r>
      <w:proofErr w:type="spellStart"/>
      <w:r w:rsidRPr="005B692B">
        <w:rPr>
          <w:bCs/>
        </w:rPr>
        <w:t>Pluhův</w:t>
      </w:r>
      <w:proofErr w:type="spellEnd"/>
      <w:r w:rsidRPr="005B692B">
        <w:rPr>
          <w:bCs/>
        </w:rPr>
        <w:t xml:space="preserve"> Žďár a mluvčí Platformy proti hlubinnému úložišti</w:t>
      </w:r>
      <w:r w:rsidR="00B42A4D">
        <w:rPr>
          <w:bCs/>
        </w:rPr>
        <w:t xml:space="preserve">,          </w:t>
      </w:r>
    </w:p>
    <w:p w14:paraId="29FB1AD9" w14:textId="7EFA064E" w:rsidR="00492069" w:rsidRDefault="005B692B" w:rsidP="00BA4958">
      <w:pPr>
        <w:spacing w:after="0" w:line="240" w:lineRule="auto"/>
        <w:rPr>
          <w:rStyle w:val="Hypertextovodkaz"/>
          <w:bCs/>
        </w:rPr>
      </w:pPr>
      <w:r w:rsidRPr="005B692B">
        <w:rPr>
          <w:bCs/>
        </w:rPr>
        <w:t xml:space="preserve">tel.: 725 972 632, email: </w:t>
      </w:r>
      <w:hyperlink r:id="rId8" w:history="1">
        <w:r w:rsidR="00FE38D8" w:rsidRPr="00A46976">
          <w:rPr>
            <w:rStyle w:val="Hypertextovodkaz"/>
            <w:bCs/>
          </w:rPr>
          <w:t>pnohava@gmail.com</w:t>
        </w:r>
      </w:hyperlink>
    </w:p>
    <w:p w14:paraId="6B6D1729" w14:textId="071E584E" w:rsidR="00956138" w:rsidRDefault="00956138" w:rsidP="00BA4958">
      <w:pPr>
        <w:spacing w:after="0" w:line="240" w:lineRule="auto"/>
        <w:jc w:val="both"/>
        <w:rPr>
          <w:rFonts w:ascii="Calibri" w:hAnsi="Calibri"/>
        </w:rPr>
      </w:pPr>
      <w:r w:rsidRPr="009B7ADF">
        <w:rPr>
          <w:rFonts w:ascii="Calibri" w:hAnsi="Calibri"/>
          <w:b/>
        </w:rPr>
        <w:t xml:space="preserve">Mgr. </w:t>
      </w:r>
      <w:r>
        <w:rPr>
          <w:rFonts w:ascii="Calibri" w:hAnsi="Calibri"/>
          <w:b/>
        </w:rPr>
        <w:t>Pavel Doucha</w:t>
      </w:r>
      <w:r w:rsidRPr="00956138">
        <w:rPr>
          <w:rFonts w:ascii="Calibri" w:hAnsi="Calibri"/>
        </w:rPr>
        <w:t>, právní zástupce žalujících obcí a spolků,</w:t>
      </w:r>
      <w:r>
        <w:rPr>
          <w:rFonts w:ascii="Calibri" w:hAnsi="Calibri"/>
          <w:b/>
        </w:rPr>
        <w:t xml:space="preserve"> </w:t>
      </w:r>
      <w:r w:rsidRPr="001F3D76">
        <w:rPr>
          <w:rFonts w:ascii="Calibri" w:hAnsi="Calibri"/>
        </w:rPr>
        <w:t>partner</w:t>
      </w:r>
      <w:r w:rsidRPr="009B7ADF">
        <w:rPr>
          <w:rFonts w:ascii="Calibri" w:hAnsi="Calibri"/>
        </w:rPr>
        <w:t xml:space="preserve"> </w:t>
      </w:r>
      <w:r w:rsidRPr="009E58BE">
        <w:rPr>
          <w:rFonts w:ascii="Calibri" w:hAnsi="Calibri"/>
        </w:rPr>
        <w:t xml:space="preserve">Doucha </w:t>
      </w:r>
      <w:proofErr w:type="spellStart"/>
      <w:r w:rsidRPr="009E58BE">
        <w:rPr>
          <w:rFonts w:ascii="Calibri" w:hAnsi="Calibri"/>
        </w:rPr>
        <w:t>Šikola</w:t>
      </w:r>
      <w:proofErr w:type="spellEnd"/>
      <w:r w:rsidRPr="009E58BE">
        <w:rPr>
          <w:rFonts w:ascii="Calibri" w:hAnsi="Calibri"/>
        </w:rPr>
        <w:t xml:space="preserve"> </w:t>
      </w:r>
      <w:proofErr w:type="spellStart"/>
      <w:r w:rsidRPr="009E58BE">
        <w:rPr>
          <w:rFonts w:ascii="Calibri" w:hAnsi="Calibri"/>
        </w:rPr>
        <w:t>advokáti</w:t>
      </w:r>
      <w:proofErr w:type="spellEnd"/>
      <w:r w:rsidRPr="009E58BE">
        <w:rPr>
          <w:rFonts w:ascii="Calibri" w:hAnsi="Calibri"/>
        </w:rPr>
        <w:t xml:space="preserve"> s.r.o. </w:t>
      </w:r>
      <w:r>
        <w:rPr>
          <w:rFonts w:ascii="Calibri" w:hAnsi="Calibri"/>
        </w:rPr>
        <w:t xml:space="preserve">– tel.: 608 873 437, e-mail: </w:t>
      </w:r>
      <w:hyperlink r:id="rId9" w:history="1">
        <w:r w:rsidR="00A8196A" w:rsidRPr="001D1719">
          <w:rPr>
            <w:rStyle w:val="Hypertextovodkaz"/>
            <w:rFonts w:ascii="Calibri" w:hAnsi="Calibri"/>
          </w:rPr>
          <w:t>doucha@dsadvokati.cz</w:t>
        </w:r>
      </w:hyperlink>
    </w:p>
    <w:p w14:paraId="31CC8439" w14:textId="7E338EAB" w:rsidR="00A8196A" w:rsidRPr="009E58BE" w:rsidRDefault="00A8196A" w:rsidP="00BA4958">
      <w:pPr>
        <w:spacing w:after="120" w:line="240" w:lineRule="auto"/>
        <w:jc w:val="both"/>
        <w:rPr>
          <w:rFonts w:ascii="Calibri" w:hAnsi="Calibri"/>
        </w:rPr>
      </w:pPr>
      <w:r w:rsidRPr="00A8196A">
        <w:rPr>
          <w:rFonts w:ascii="Calibri" w:hAnsi="Calibri"/>
          <w:b/>
        </w:rPr>
        <w:t>Ing. Edvard Sequens</w:t>
      </w:r>
      <w:r w:rsidRPr="003B2C27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předseda </w:t>
      </w:r>
      <w:proofErr w:type="spellStart"/>
      <w:r w:rsidRPr="003B2C27">
        <w:rPr>
          <w:rFonts w:ascii="Calibri" w:hAnsi="Calibri"/>
        </w:rPr>
        <w:t>Calla</w:t>
      </w:r>
      <w:proofErr w:type="spellEnd"/>
      <w:r w:rsidRPr="003B2C27">
        <w:rPr>
          <w:rFonts w:ascii="Calibri" w:hAnsi="Calibri"/>
        </w:rPr>
        <w:t xml:space="preserve"> </w:t>
      </w:r>
      <w:r>
        <w:rPr>
          <w:rFonts w:ascii="Calibri" w:hAnsi="Calibri"/>
        </w:rPr>
        <w:t>– Sdružení pro záchranu prostředí -</w:t>
      </w:r>
      <w:r w:rsidRPr="003B2C27">
        <w:rPr>
          <w:rFonts w:ascii="Calibri" w:hAnsi="Calibri"/>
        </w:rPr>
        <w:t xml:space="preserve"> tel.: 602 282 399, e-mail: </w:t>
      </w:r>
      <w:hyperlink r:id="rId10" w:history="1">
        <w:r w:rsidRPr="003B2C27">
          <w:rPr>
            <w:rStyle w:val="Hypertextovodkaz"/>
            <w:rFonts w:ascii="Calibri" w:hAnsi="Calibri"/>
          </w:rPr>
          <w:t>edvard.sequens@calla.cz</w:t>
        </w:r>
      </w:hyperlink>
    </w:p>
    <w:p w14:paraId="425A4F24" w14:textId="77777777" w:rsidR="003C200D" w:rsidRDefault="003C200D" w:rsidP="00BA4958">
      <w:pPr>
        <w:spacing w:afterLines="80" w:after="192" w:line="240" w:lineRule="auto"/>
        <w:rPr>
          <w:rStyle w:val="Hypertextovodkaz"/>
          <w:bCs/>
        </w:rPr>
      </w:pPr>
    </w:p>
    <w:p w14:paraId="0A42A938" w14:textId="6E5E6157" w:rsidR="002625A5" w:rsidRPr="002625A5" w:rsidRDefault="002625A5" w:rsidP="00BA4958">
      <w:pPr>
        <w:spacing w:afterLines="80" w:after="192" w:line="240" w:lineRule="auto"/>
        <w:rPr>
          <w:rStyle w:val="Hypertextovodkaz"/>
          <w:b/>
          <w:bCs/>
          <w:color w:val="auto"/>
        </w:rPr>
      </w:pPr>
      <w:r w:rsidRPr="002625A5">
        <w:rPr>
          <w:rStyle w:val="Hypertextovodkaz"/>
          <w:b/>
          <w:bCs/>
          <w:color w:val="auto"/>
        </w:rPr>
        <w:t>Poznámky:</w:t>
      </w:r>
    </w:p>
    <w:p w14:paraId="3EAE079C" w14:textId="6438C064" w:rsidR="00063A7C" w:rsidRDefault="002625A5" w:rsidP="00BA4958">
      <w:pPr>
        <w:spacing w:after="120" w:line="240" w:lineRule="auto"/>
        <w:jc w:val="both"/>
        <w:rPr>
          <w:rFonts w:ascii="Calibri" w:hAnsi="Calibri" w:cs="Times New Roman"/>
        </w:rPr>
      </w:pPr>
      <w:r w:rsidRPr="002625A5">
        <w:rPr>
          <w:rFonts w:cs="Arial"/>
        </w:rPr>
        <w:t>[</w:t>
      </w:r>
      <w:r w:rsidR="006C31A0">
        <w:rPr>
          <w:rFonts w:cs="Arial"/>
        </w:rPr>
        <w:t>1</w:t>
      </w:r>
      <w:r w:rsidRPr="002625A5">
        <w:rPr>
          <w:rFonts w:cs="Arial"/>
        </w:rPr>
        <w:t>]</w:t>
      </w:r>
      <w:r>
        <w:rPr>
          <w:rFonts w:cstheme="minorHAnsi"/>
          <w:b/>
        </w:rPr>
        <w:t xml:space="preserve"> </w:t>
      </w:r>
      <w:hyperlink r:id="rId11" w:history="1">
        <w:r w:rsidR="00A17C44" w:rsidRPr="00A17C44">
          <w:rPr>
            <w:rStyle w:val="Hypertextovodkaz"/>
            <w:rFonts w:ascii="Calibri" w:hAnsi="Calibri" w:cs="Times New Roman"/>
          </w:rPr>
          <w:t>Žaloba Calla – Sdružení pro záchranu prostředí proti rozhodnutí ministra životního prostředí o stanovení průzkumného území pro geologické práce pro vyhledávání úložiště v lokalitě Kraví hora</w:t>
        </w:r>
      </w:hyperlink>
      <w:r w:rsidR="00A17C44">
        <w:rPr>
          <w:rFonts w:ascii="Calibri" w:hAnsi="Calibri" w:cs="Times New Roman"/>
        </w:rPr>
        <w:t xml:space="preserve"> podaná 7. 7. 2015</w:t>
      </w:r>
    </w:p>
    <w:p w14:paraId="4DBB232F" w14:textId="0356DB33" w:rsidR="00B97E1E" w:rsidRDefault="00B97E1E" w:rsidP="00BA4958">
      <w:pPr>
        <w:spacing w:after="12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Rozsudek: </w:t>
      </w:r>
      <w:hyperlink r:id="rId12" w:history="1">
        <w:r w:rsidRPr="001D1719">
          <w:rPr>
            <w:rStyle w:val="Hypertextovodkaz"/>
            <w:rFonts w:ascii="Calibri" w:hAnsi="Calibri" w:cs="Times New Roman"/>
          </w:rPr>
          <w:t>http://infodeska.justice.cz/soubor.aspx?souborid=5667130</w:t>
        </w:r>
      </w:hyperlink>
      <w:r>
        <w:rPr>
          <w:rFonts w:ascii="Calibri" w:hAnsi="Calibri" w:cs="Times New Roman"/>
        </w:rPr>
        <w:t xml:space="preserve"> </w:t>
      </w:r>
    </w:p>
    <w:p w14:paraId="4FBDEBF6" w14:textId="4392DAFA" w:rsidR="00B97E1E" w:rsidRDefault="00063A7C" w:rsidP="00BA4958">
      <w:pPr>
        <w:spacing w:afterLines="80" w:after="192" w:line="240" w:lineRule="auto"/>
        <w:jc w:val="both"/>
        <w:rPr>
          <w:rFonts w:ascii="Calibri" w:hAnsi="Calibri" w:cs="Times New Roman"/>
        </w:rPr>
      </w:pPr>
      <w:r w:rsidRPr="002625A5">
        <w:rPr>
          <w:rFonts w:cs="Arial"/>
        </w:rPr>
        <w:t>[</w:t>
      </w:r>
      <w:r w:rsidR="00B85C1C">
        <w:rPr>
          <w:rFonts w:cs="Arial"/>
        </w:rPr>
        <w:t>2</w:t>
      </w:r>
      <w:r w:rsidRPr="002625A5">
        <w:rPr>
          <w:rFonts w:cs="Arial"/>
        </w:rPr>
        <w:t>]</w:t>
      </w:r>
      <w:r w:rsidR="00B97E1E">
        <w:rPr>
          <w:rFonts w:cs="Arial"/>
        </w:rPr>
        <w:t xml:space="preserve"> </w:t>
      </w:r>
      <w:hyperlink r:id="rId13" w:history="1">
        <w:r w:rsidR="00B97E1E" w:rsidRPr="00A8196A">
          <w:rPr>
            <w:rStyle w:val="Hypertextovodkaz"/>
            <w:rFonts w:ascii="Calibri" w:hAnsi="Calibri" w:cs="Times New Roman"/>
          </w:rPr>
          <w:t xml:space="preserve">Žaloba </w:t>
        </w:r>
        <w:proofErr w:type="spellStart"/>
        <w:r w:rsidR="00B97E1E" w:rsidRPr="00A8196A">
          <w:rPr>
            <w:rStyle w:val="Hypertextovodkaz"/>
            <w:rFonts w:ascii="Calibri" w:hAnsi="Calibri" w:cs="Times New Roman"/>
          </w:rPr>
          <w:t>Calla</w:t>
        </w:r>
        <w:proofErr w:type="spellEnd"/>
        <w:r w:rsidR="00B97E1E" w:rsidRPr="00A8196A">
          <w:rPr>
            <w:rStyle w:val="Hypertextovodkaz"/>
            <w:rFonts w:ascii="Calibri" w:hAnsi="Calibri" w:cs="Times New Roman"/>
          </w:rPr>
          <w:t xml:space="preserve"> – Sdružení pro záchranu prostředí proti rozhodnutí ministra životního prostředí o stanovení průzkumného území pro geologické práce pro vyhledávání úložiště v lokalitě Horka</w:t>
        </w:r>
      </w:hyperlink>
      <w:r w:rsidR="00B97E1E">
        <w:rPr>
          <w:rFonts w:ascii="Calibri" w:hAnsi="Calibri" w:cs="Times New Roman"/>
        </w:rPr>
        <w:t xml:space="preserve"> podaná 7. 7. 2015</w:t>
      </w:r>
    </w:p>
    <w:p w14:paraId="60A983EB" w14:textId="1FC96877" w:rsidR="00B97E1E" w:rsidRDefault="00B97E1E" w:rsidP="00BA4958">
      <w:pPr>
        <w:spacing w:afterLines="80" w:after="192" w:line="240" w:lineRule="auto"/>
        <w:jc w:val="both"/>
        <w:rPr>
          <w:rFonts w:cs="Arial"/>
        </w:rPr>
      </w:pPr>
      <w:r>
        <w:rPr>
          <w:rFonts w:ascii="Calibri" w:hAnsi="Calibri" w:cs="Times New Roman"/>
        </w:rPr>
        <w:t xml:space="preserve">Rozsudek: </w:t>
      </w:r>
      <w:hyperlink r:id="rId14" w:history="1">
        <w:r w:rsidRPr="001D1719">
          <w:rPr>
            <w:rStyle w:val="Hypertextovodkaz"/>
            <w:bCs/>
          </w:rPr>
          <w:t>http://infodeska.justice.cz/soubor.aspx?souborid=5667242</w:t>
        </w:r>
      </w:hyperlink>
    </w:p>
    <w:p w14:paraId="5F801B68" w14:textId="4D1881E8" w:rsidR="00A17C44" w:rsidRDefault="00A8196A" w:rsidP="00BA4958">
      <w:pPr>
        <w:spacing w:afterLines="80" w:after="192" w:line="240" w:lineRule="auto"/>
        <w:jc w:val="both"/>
        <w:rPr>
          <w:bCs/>
        </w:rPr>
      </w:pPr>
      <w:r w:rsidRPr="002625A5">
        <w:rPr>
          <w:rFonts w:cs="Arial"/>
        </w:rPr>
        <w:t>[</w:t>
      </w:r>
      <w:r>
        <w:rPr>
          <w:rFonts w:cs="Arial"/>
        </w:rPr>
        <w:t>3</w:t>
      </w:r>
      <w:r w:rsidRPr="002625A5">
        <w:rPr>
          <w:rFonts w:cs="Arial"/>
        </w:rPr>
        <w:t>]</w:t>
      </w:r>
      <w:r>
        <w:rPr>
          <w:rFonts w:cs="Arial"/>
        </w:rPr>
        <w:t xml:space="preserve"> </w:t>
      </w:r>
      <w:r w:rsidR="00063A7C">
        <w:rPr>
          <w:rFonts w:cs="Arial"/>
        </w:rPr>
        <w:t xml:space="preserve"> </w:t>
      </w:r>
      <w:hyperlink r:id="rId15" w:history="1">
        <w:r w:rsidR="00A17C44" w:rsidRPr="00A17C44">
          <w:rPr>
            <w:rStyle w:val="Hypertextovodkaz"/>
            <w:rFonts w:ascii="Calibri" w:hAnsi="Calibri" w:cs="Times New Roman"/>
          </w:rPr>
          <w:t>Žaloba Města Deštná a obce Světce proti rozhodnutí ministra životního prostředí o stanovení průzkumného území pro geologické práce pro vyhledávání úložiště v lokalitě Čihadlo</w:t>
        </w:r>
      </w:hyperlink>
      <w:r w:rsidR="00A17C44">
        <w:rPr>
          <w:rFonts w:ascii="Calibri" w:hAnsi="Calibri" w:cs="Times New Roman"/>
        </w:rPr>
        <w:t xml:space="preserve"> podaná 7. 7. 2015</w:t>
      </w:r>
    </w:p>
    <w:p w14:paraId="3A62763A" w14:textId="772CC519" w:rsidR="002625A5" w:rsidRDefault="00020CCE" w:rsidP="00BA4958">
      <w:pPr>
        <w:spacing w:afterLines="80" w:after="192" w:line="240" w:lineRule="auto"/>
        <w:jc w:val="both"/>
        <w:rPr>
          <w:rFonts w:ascii="Calibri" w:hAnsi="Calibri" w:cs="Times New Roman"/>
        </w:rPr>
      </w:pPr>
      <w:hyperlink r:id="rId16" w:history="1">
        <w:r w:rsidR="00A17C44" w:rsidRPr="00A17C44">
          <w:rPr>
            <w:rStyle w:val="Hypertextovodkaz"/>
            <w:rFonts w:ascii="Calibri" w:hAnsi="Calibri" w:cs="Times New Roman"/>
          </w:rPr>
          <w:t xml:space="preserve">Žaloba spolků Za Radouň </w:t>
        </w:r>
        <w:proofErr w:type="gramStart"/>
        <w:r w:rsidR="00A17C44" w:rsidRPr="00A17C44">
          <w:rPr>
            <w:rStyle w:val="Hypertextovodkaz"/>
            <w:rFonts w:ascii="Calibri" w:hAnsi="Calibri" w:cs="Times New Roman"/>
          </w:rPr>
          <w:t xml:space="preserve">krásnější a  </w:t>
        </w:r>
        <w:proofErr w:type="spellStart"/>
        <w:r w:rsidR="00A17C44" w:rsidRPr="00A17C44">
          <w:rPr>
            <w:rStyle w:val="Hypertextovodkaz"/>
            <w:rFonts w:ascii="Calibri" w:hAnsi="Calibri" w:cs="Times New Roman"/>
          </w:rPr>
          <w:t>Calla</w:t>
        </w:r>
        <w:proofErr w:type="spellEnd"/>
        <w:proofErr w:type="gramEnd"/>
        <w:r w:rsidR="00A17C44" w:rsidRPr="00A17C44">
          <w:rPr>
            <w:rStyle w:val="Hypertextovodkaz"/>
            <w:rFonts w:ascii="Calibri" w:hAnsi="Calibri" w:cs="Times New Roman"/>
          </w:rPr>
          <w:t xml:space="preserve"> – Sdružení pro záchranu prostředí proti rozhodnutí ministra životního prostředí o stanovení průzkumného území pro geologické práce pro vyhledávání úložiště v lokalitě Čihadlo</w:t>
        </w:r>
      </w:hyperlink>
      <w:r w:rsidR="00A17C44">
        <w:rPr>
          <w:rFonts w:ascii="Calibri" w:hAnsi="Calibri" w:cs="Times New Roman"/>
        </w:rPr>
        <w:t xml:space="preserve"> podaná 7. 7. 2015</w:t>
      </w:r>
    </w:p>
    <w:p w14:paraId="0AC4BF65" w14:textId="6EC5A7D9" w:rsidR="00B97E1E" w:rsidRDefault="00A17C44" w:rsidP="00BA4958">
      <w:pPr>
        <w:spacing w:afterLines="80" w:after="192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Obě žaloby týkající se lokality Čihadlo byly projednávané a rozhodnuté ve společném procesu.</w:t>
      </w:r>
      <w:r w:rsidR="00A8196A">
        <w:rPr>
          <w:rFonts w:ascii="Calibri" w:hAnsi="Calibri" w:cs="Times New Roman"/>
        </w:rPr>
        <w:t xml:space="preserve"> Rozsudek</w:t>
      </w:r>
      <w:r w:rsidR="00B97E1E">
        <w:rPr>
          <w:rFonts w:ascii="Calibri" w:hAnsi="Calibri" w:cs="Times New Roman"/>
        </w:rPr>
        <w:t xml:space="preserve"> </w:t>
      </w:r>
      <w:r w:rsidR="00A8196A">
        <w:rPr>
          <w:rFonts w:ascii="Calibri" w:hAnsi="Calibri" w:cs="Times New Roman"/>
        </w:rPr>
        <w:t>z 1. 3. 2018 ještě nebyl zveřejněn.</w:t>
      </w:r>
    </w:p>
    <w:p w14:paraId="38EF302D" w14:textId="606008D2" w:rsidR="00B97E1E" w:rsidRDefault="00B97E1E" w:rsidP="00BA4958">
      <w:pPr>
        <w:spacing w:afterLines="80" w:after="192" w:line="240" w:lineRule="auto"/>
        <w:jc w:val="both"/>
        <w:rPr>
          <w:bCs/>
        </w:rPr>
      </w:pPr>
    </w:p>
    <w:sectPr w:rsidR="00B97E1E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EC22F" w14:textId="77777777" w:rsidR="00020CCE" w:rsidRDefault="00020CCE" w:rsidP="00965111">
      <w:pPr>
        <w:spacing w:after="0" w:line="240" w:lineRule="auto"/>
      </w:pPr>
      <w:r>
        <w:separator/>
      </w:r>
    </w:p>
  </w:endnote>
  <w:endnote w:type="continuationSeparator" w:id="0">
    <w:p w14:paraId="5AAF5011" w14:textId="77777777" w:rsidR="00020CCE" w:rsidRDefault="00020CCE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6F7A3" w14:textId="77777777" w:rsidR="00020CCE" w:rsidRDefault="00020CCE" w:rsidP="00965111">
      <w:pPr>
        <w:spacing w:after="0" w:line="240" w:lineRule="auto"/>
      </w:pPr>
      <w:r>
        <w:separator/>
      </w:r>
    </w:p>
  </w:footnote>
  <w:footnote w:type="continuationSeparator" w:id="0">
    <w:p w14:paraId="231BA5FC" w14:textId="77777777" w:rsidR="00020CCE" w:rsidRDefault="00020CCE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eastAsia="cs-CZ"/>
      </w:rPr>
      <w:drawing>
        <wp:inline distT="0" distB="0" distL="0" distR="0" wp14:anchorId="590BE6D6" wp14:editId="38A382F3">
          <wp:extent cx="2905125" cy="952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24" cy="96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B43DB" w14:textId="77777777" w:rsidR="000E3645" w:rsidRDefault="000E36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3A2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40A4"/>
    <w:multiLevelType w:val="hybridMultilevel"/>
    <w:tmpl w:val="35A6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E78E1"/>
    <w:multiLevelType w:val="hybridMultilevel"/>
    <w:tmpl w:val="61F0C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46AA"/>
    <w:multiLevelType w:val="hybridMultilevel"/>
    <w:tmpl w:val="B134CB5E"/>
    <w:lvl w:ilvl="0" w:tplc="091A655A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1112"/>
    <w:multiLevelType w:val="hybridMultilevel"/>
    <w:tmpl w:val="45682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810B7"/>
    <w:multiLevelType w:val="hybridMultilevel"/>
    <w:tmpl w:val="EF483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4698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11"/>
    <w:rsid w:val="00005FC2"/>
    <w:rsid w:val="00012AAC"/>
    <w:rsid w:val="00013CCE"/>
    <w:rsid w:val="00020CCE"/>
    <w:rsid w:val="000232D0"/>
    <w:rsid w:val="00030DCA"/>
    <w:rsid w:val="000417F9"/>
    <w:rsid w:val="00044F66"/>
    <w:rsid w:val="00052158"/>
    <w:rsid w:val="00056B1D"/>
    <w:rsid w:val="00063A7C"/>
    <w:rsid w:val="0006607F"/>
    <w:rsid w:val="00075707"/>
    <w:rsid w:val="00084AC1"/>
    <w:rsid w:val="00090C41"/>
    <w:rsid w:val="000951D6"/>
    <w:rsid w:val="000A1B91"/>
    <w:rsid w:val="000A2023"/>
    <w:rsid w:val="000A39EA"/>
    <w:rsid w:val="000D3ABB"/>
    <w:rsid w:val="000D60FE"/>
    <w:rsid w:val="000E3645"/>
    <w:rsid w:val="00127C78"/>
    <w:rsid w:val="00135D60"/>
    <w:rsid w:val="00141586"/>
    <w:rsid w:val="00145C16"/>
    <w:rsid w:val="0015538F"/>
    <w:rsid w:val="00162F86"/>
    <w:rsid w:val="00180652"/>
    <w:rsid w:val="00185E05"/>
    <w:rsid w:val="00190F1F"/>
    <w:rsid w:val="00196CA9"/>
    <w:rsid w:val="001B54BA"/>
    <w:rsid w:val="001D31D0"/>
    <w:rsid w:val="001D36C3"/>
    <w:rsid w:val="001E3400"/>
    <w:rsid w:val="00224FB0"/>
    <w:rsid w:val="00242F09"/>
    <w:rsid w:val="00245DB9"/>
    <w:rsid w:val="0025644B"/>
    <w:rsid w:val="002625A5"/>
    <w:rsid w:val="00270B85"/>
    <w:rsid w:val="002729BD"/>
    <w:rsid w:val="00273E50"/>
    <w:rsid w:val="0027649D"/>
    <w:rsid w:val="002956E7"/>
    <w:rsid w:val="00297673"/>
    <w:rsid w:val="002A0BA2"/>
    <w:rsid w:val="002A0D4B"/>
    <w:rsid w:val="002B0E2B"/>
    <w:rsid w:val="002B1D36"/>
    <w:rsid w:val="002C6B5E"/>
    <w:rsid w:val="002C728C"/>
    <w:rsid w:val="002D0F22"/>
    <w:rsid w:val="002E6267"/>
    <w:rsid w:val="003006CD"/>
    <w:rsid w:val="003155BD"/>
    <w:rsid w:val="003205AB"/>
    <w:rsid w:val="00320C86"/>
    <w:rsid w:val="0032525E"/>
    <w:rsid w:val="00332AA1"/>
    <w:rsid w:val="00337279"/>
    <w:rsid w:val="00337E0A"/>
    <w:rsid w:val="0036740B"/>
    <w:rsid w:val="00375508"/>
    <w:rsid w:val="00384765"/>
    <w:rsid w:val="00391866"/>
    <w:rsid w:val="0039187B"/>
    <w:rsid w:val="003B130F"/>
    <w:rsid w:val="003B2708"/>
    <w:rsid w:val="003C1079"/>
    <w:rsid w:val="003C200D"/>
    <w:rsid w:val="003C5FCC"/>
    <w:rsid w:val="003F063F"/>
    <w:rsid w:val="003F0F91"/>
    <w:rsid w:val="003F1A69"/>
    <w:rsid w:val="003F6CBF"/>
    <w:rsid w:val="003F7D5D"/>
    <w:rsid w:val="004124C0"/>
    <w:rsid w:val="00417696"/>
    <w:rsid w:val="0045623F"/>
    <w:rsid w:val="00463152"/>
    <w:rsid w:val="00464950"/>
    <w:rsid w:val="0047082B"/>
    <w:rsid w:val="00484786"/>
    <w:rsid w:val="00487663"/>
    <w:rsid w:val="00492069"/>
    <w:rsid w:val="004A05E8"/>
    <w:rsid w:val="004A442B"/>
    <w:rsid w:val="004C5FCD"/>
    <w:rsid w:val="004D0D26"/>
    <w:rsid w:val="005049C6"/>
    <w:rsid w:val="0052446A"/>
    <w:rsid w:val="005339CA"/>
    <w:rsid w:val="0053455E"/>
    <w:rsid w:val="005376EC"/>
    <w:rsid w:val="0054125B"/>
    <w:rsid w:val="00545B17"/>
    <w:rsid w:val="00566351"/>
    <w:rsid w:val="00575116"/>
    <w:rsid w:val="00590857"/>
    <w:rsid w:val="00590E7E"/>
    <w:rsid w:val="005945E5"/>
    <w:rsid w:val="005A595B"/>
    <w:rsid w:val="005A7901"/>
    <w:rsid w:val="005B692B"/>
    <w:rsid w:val="005B70AF"/>
    <w:rsid w:val="005F3EA4"/>
    <w:rsid w:val="005F409A"/>
    <w:rsid w:val="00610C63"/>
    <w:rsid w:val="006141AE"/>
    <w:rsid w:val="006164D5"/>
    <w:rsid w:val="006221BD"/>
    <w:rsid w:val="00626B7E"/>
    <w:rsid w:val="00631C6B"/>
    <w:rsid w:val="00633430"/>
    <w:rsid w:val="00634AD1"/>
    <w:rsid w:val="006361F1"/>
    <w:rsid w:val="006365E0"/>
    <w:rsid w:val="006518AC"/>
    <w:rsid w:val="006536BC"/>
    <w:rsid w:val="00660AEB"/>
    <w:rsid w:val="00667872"/>
    <w:rsid w:val="0068086C"/>
    <w:rsid w:val="0068254D"/>
    <w:rsid w:val="006853E3"/>
    <w:rsid w:val="006B2028"/>
    <w:rsid w:val="006B4DD0"/>
    <w:rsid w:val="006C31A0"/>
    <w:rsid w:val="006C653A"/>
    <w:rsid w:val="006C6FBD"/>
    <w:rsid w:val="006D320D"/>
    <w:rsid w:val="006E46CE"/>
    <w:rsid w:val="006E7785"/>
    <w:rsid w:val="0071063C"/>
    <w:rsid w:val="00735779"/>
    <w:rsid w:val="00742C92"/>
    <w:rsid w:val="007444EC"/>
    <w:rsid w:val="00747153"/>
    <w:rsid w:val="00766429"/>
    <w:rsid w:val="00770F0C"/>
    <w:rsid w:val="00784DAE"/>
    <w:rsid w:val="007A17BF"/>
    <w:rsid w:val="007B2C87"/>
    <w:rsid w:val="007C7A7E"/>
    <w:rsid w:val="007D23BD"/>
    <w:rsid w:val="007D6BAF"/>
    <w:rsid w:val="007D7B6E"/>
    <w:rsid w:val="007E30AA"/>
    <w:rsid w:val="007F78A7"/>
    <w:rsid w:val="008265BF"/>
    <w:rsid w:val="008330A1"/>
    <w:rsid w:val="00846B08"/>
    <w:rsid w:val="0085256F"/>
    <w:rsid w:val="00883191"/>
    <w:rsid w:val="008B560E"/>
    <w:rsid w:val="008C6A0D"/>
    <w:rsid w:val="008D050A"/>
    <w:rsid w:val="008D1E0F"/>
    <w:rsid w:val="008D5FB4"/>
    <w:rsid w:val="008E0DAA"/>
    <w:rsid w:val="008E7E83"/>
    <w:rsid w:val="008F2865"/>
    <w:rsid w:val="008F730E"/>
    <w:rsid w:val="009020AB"/>
    <w:rsid w:val="00925304"/>
    <w:rsid w:val="00926769"/>
    <w:rsid w:val="009402AD"/>
    <w:rsid w:val="00941AA8"/>
    <w:rsid w:val="009527E2"/>
    <w:rsid w:val="0095582F"/>
    <w:rsid w:val="00956138"/>
    <w:rsid w:val="00965111"/>
    <w:rsid w:val="00975C4A"/>
    <w:rsid w:val="009A21AB"/>
    <w:rsid w:val="009B20CB"/>
    <w:rsid w:val="009B6ABD"/>
    <w:rsid w:val="009B74DA"/>
    <w:rsid w:val="009D3B95"/>
    <w:rsid w:val="009D51E8"/>
    <w:rsid w:val="009E0AAE"/>
    <w:rsid w:val="009E74C3"/>
    <w:rsid w:val="009F4203"/>
    <w:rsid w:val="00A00D19"/>
    <w:rsid w:val="00A0295C"/>
    <w:rsid w:val="00A17C44"/>
    <w:rsid w:val="00A531A0"/>
    <w:rsid w:val="00A65F28"/>
    <w:rsid w:val="00A71748"/>
    <w:rsid w:val="00A73CF7"/>
    <w:rsid w:val="00A8196A"/>
    <w:rsid w:val="00A85426"/>
    <w:rsid w:val="00AA0BBF"/>
    <w:rsid w:val="00AA1C91"/>
    <w:rsid w:val="00AC06FB"/>
    <w:rsid w:val="00AE026E"/>
    <w:rsid w:val="00AF6FCF"/>
    <w:rsid w:val="00B03EAB"/>
    <w:rsid w:val="00B3232E"/>
    <w:rsid w:val="00B4220D"/>
    <w:rsid w:val="00B42A4D"/>
    <w:rsid w:val="00B4544E"/>
    <w:rsid w:val="00B52894"/>
    <w:rsid w:val="00B702A4"/>
    <w:rsid w:val="00B80E40"/>
    <w:rsid w:val="00B84F99"/>
    <w:rsid w:val="00B85C1C"/>
    <w:rsid w:val="00B943EA"/>
    <w:rsid w:val="00B97D99"/>
    <w:rsid w:val="00B97E1E"/>
    <w:rsid w:val="00BA4958"/>
    <w:rsid w:val="00BA5755"/>
    <w:rsid w:val="00BB038F"/>
    <w:rsid w:val="00BB53D9"/>
    <w:rsid w:val="00BC08A8"/>
    <w:rsid w:val="00BC2689"/>
    <w:rsid w:val="00BD0DF4"/>
    <w:rsid w:val="00BD2F66"/>
    <w:rsid w:val="00BD3DA8"/>
    <w:rsid w:val="00BD68E1"/>
    <w:rsid w:val="00BE06EB"/>
    <w:rsid w:val="00BF6753"/>
    <w:rsid w:val="00C10D9F"/>
    <w:rsid w:val="00C135DE"/>
    <w:rsid w:val="00C2180D"/>
    <w:rsid w:val="00C21B70"/>
    <w:rsid w:val="00C44487"/>
    <w:rsid w:val="00C6155A"/>
    <w:rsid w:val="00C76B2F"/>
    <w:rsid w:val="00CA643D"/>
    <w:rsid w:val="00CD6383"/>
    <w:rsid w:val="00D03358"/>
    <w:rsid w:val="00D117F2"/>
    <w:rsid w:val="00D22DAD"/>
    <w:rsid w:val="00D25426"/>
    <w:rsid w:val="00D267EF"/>
    <w:rsid w:val="00D378A6"/>
    <w:rsid w:val="00D51934"/>
    <w:rsid w:val="00D64D6D"/>
    <w:rsid w:val="00D969DE"/>
    <w:rsid w:val="00DB5C58"/>
    <w:rsid w:val="00DC526C"/>
    <w:rsid w:val="00DE47C9"/>
    <w:rsid w:val="00E06F41"/>
    <w:rsid w:val="00E24744"/>
    <w:rsid w:val="00E320B1"/>
    <w:rsid w:val="00E32631"/>
    <w:rsid w:val="00E32ABD"/>
    <w:rsid w:val="00E344E0"/>
    <w:rsid w:val="00E40728"/>
    <w:rsid w:val="00E42847"/>
    <w:rsid w:val="00E46AE1"/>
    <w:rsid w:val="00E85E96"/>
    <w:rsid w:val="00E86D2C"/>
    <w:rsid w:val="00E94872"/>
    <w:rsid w:val="00E95FA4"/>
    <w:rsid w:val="00EC358E"/>
    <w:rsid w:val="00ED4DC7"/>
    <w:rsid w:val="00F01F2F"/>
    <w:rsid w:val="00F06E81"/>
    <w:rsid w:val="00F230ED"/>
    <w:rsid w:val="00F25902"/>
    <w:rsid w:val="00F25CA4"/>
    <w:rsid w:val="00F373F4"/>
    <w:rsid w:val="00F45938"/>
    <w:rsid w:val="00F55CD6"/>
    <w:rsid w:val="00F67452"/>
    <w:rsid w:val="00F77B49"/>
    <w:rsid w:val="00F84200"/>
    <w:rsid w:val="00F9196C"/>
    <w:rsid w:val="00F9763F"/>
    <w:rsid w:val="00FA1F55"/>
    <w:rsid w:val="00FA6F57"/>
    <w:rsid w:val="00FB440F"/>
    <w:rsid w:val="00FB44FB"/>
    <w:rsid w:val="00FB4F46"/>
    <w:rsid w:val="00FB603F"/>
    <w:rsid w:val="00FC3C6C"/>
    <w:rsid w:val="00FE0C47"/>
    <w:rsid w:val="00FE38D8"/>
    <w:rsid w:val="00FE7D9D"/>
    <w:rsid w:val="00FF0AF6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D48"/>
  <w15:docId w15:val="{09B42AEE-39D1-4F14-B31F-9B91DA13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6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character" w:styleId="Siln">
    <w:name w:val="Strong"/>
    <w:basedOn w:val="Standardnpsmoodstavce"/>
    <w:qFormat/>
    <w:rsid w:val="005244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90C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69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337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hava@gmail.com" TargetMode="External"/><Relationship Id="rId13" Type="http://schemas.openxmlformats.org/officeDocument/2006/relationships/hyperlink" Target="http://www.nechcemeuloziste.cz/cs/lokality/horka/pravni-stav-hor/zaloba-proti-rozhodnuti-ministra-zivotniho-prostredi-ze-dne-29-4-2015/_files/ms-pr-horka-zaloba-020715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12" Type="http://schemas.openxmlformats.org/officeDocument/2006/relationships/hyperlink" Target="http://infodeska.justice.cz/soubor.aspx?souborid=566713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echcemeuloziste.cz/cs/lokality/cihadlo/pravni-stav-cih/zaloba-proti-rozhodnuti-ministra-zivotniho-prostredi-ze-dne-29-4-2015/_files/ms-pr-cihadlo-zaloba-spolky-07071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chcemeuloziste.cz/cs/lokality/kravi-hora/pravni-stav/zaloba-proti-rozhodnuti-ministra-zivotniho-prostredi-ze-dne-29-4-2015/_files/ms-pr-kravi-hora-zaloba-07071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chcemeuloziste.cz/cs/lokality/cihadlo/pravni-stav-cih/zaloba-proti-rozhodnuti-ministra-zivotniho-prostredi-ze-dne-29-4-2015-cihadlo/_files/ms-pr-cihadlo-zaloba-obce-070715.pdf" TargetMode="External"/><Relationship Id="rId10" Type="http://schemas.openxmlformats.org/officeDocument/2006/relationships/hyperlink" Target="mailto:edvard.sequens@calla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oucha@dsadvokati.cz" TargetMode="External"/><Relationship Id="rId14" Type="http://schemas.openxmlformats.org/officeDocument/2006/relationships/hyperlink" Target="http://infodeska.justice.cz/soubor.aspx?souborid=56672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petrn</dc:creator>
  <cp:lastModifiedBy>Edvard Sequens</cp:lastModifiedBy>
  <cp:revision>10</cp:revision>
  <cp:lastPrinted>2018-03-02T08:04:00Z</cp:lastPrinted>
  <dcterms:created xsi:type="dcterms:W3CDTF">2018-03-01T21:40:00Z</dcterms:created>
  <dcterms:modified xsi:type="dcterms:W3CDTF">2018-03-02T08:19:00Z</dcterms:modified>
</cp:coreProperties>
</file>