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BA75" w14:textId="203432AE" w:rsidR="00E8105D" w:rsidRPr="001948AB" w:rsidRDefault="00E8105D" w:rsidP="00632D0D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948AB">
        <w:rPr>
          <w:b/>
          <w:bCs/>
          <w:sz w:val="28"/>
          <w:szCs w:val="28"/>
          <w:lang w:val="cs-CZ"/>
        </w:rPr>
        <w:t>Tisková zpráva Platformy proti hlubinnému úložišti</w:t>
      </w:r>
    </w:p>
    <w:p w14:paraId="706CE940" w14:textId="5D7DBB18" w:rsidR="00E8105D" w:rsidRPr="001948AB" w:rsidRDefault="00172C9D" w:rsidP="00257E61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</w:t>
      </w:r>
      <w:r w:rsidR="005C339B">
        <w:rPr>
          <w:b/>
          <w:bCs/>
          <w:sz w:val="28"/>
          <w:szCs w:val="28"/>
          <w:lang w:val="cs-CZ"/>
        </w:rPr>
        <w:t> 18. října 2024</w:t>
      </w:r>
    </w:p>
    <w:p w14:paraId="2DA8B2CB" w14:textId="77777777" w:rsidR="005C339B" w:rsidRDefault="005C339B" w:rsidP="00257E61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 xml:space="preserve">Povolení průzkumných území neznamená zelenou </w:t>
      </w:r>
    </w:p>
    <w:p w14:paraId="0CDA6F63" w14:textId="5A9B13B7" w:rsidR="006E217C" w:rsidRDefault="005C339B" w:rsidP="00257E61">
      <w:pPr>
        <w:spacing w:after="12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pro geologické práce</w:t>
      </w:r>
      <w:r w:rsidR="007F521F">
        <w:rPr>
          <w:b/>
          <w:bCs/>
          <w:color w:val="339933"/>
          <w:sz w:val="36"/>
          <w:szCs w:val="36"/>
          <w:lang w:val="cs-CZ"/>
        </w:rPr>
        <w:t>, zpoždění roste</w:t>
      </w:r>
    </w:p>
    <w:p w14:paraId="7ED9368F" w14:textId="581B2F49" w:rsidR="00A03A29" w:rsidRPr="00632D0D" w:rsidRDefault="005C339B" w:rsidP="00632D0D">
      <w:pPr>
        <w:spacing w:after="120" w:line="240" w:lineRule="auto"/>
        <w:jc w:val="center"/>
        <w:rPr>
          <w:b/>
          <w:bCs/>
          <w:color w:val="339933"/>
          <w:sz w:val="28"/>
          <w:szCs w:val="28"/>
          <w:lang w:val="cs-CZ"/>
        </w:rPr>
      </w:pPr>
      <w:r>
        <w:rPr>
          <w:b/>
          <w:bCs/>
          <w:color w:val="339933"/>
          <w:sz w:val="28"/>
          <w:szCs w:val="28"/>
          <w:lang w:val="cs-CZ"/>
        </w:rPr>
        <w:t xml:space="preserve">Dotčené obce </w:t>
      </w:r>
      <w:r w:rsidR="00632D0D">
        <w:rPr>
          <w:b/>
          <w:bCs/>
          <w:color w:val="339933"/>
          <w:sz w:val="28"/>
          <w:szCs w:val="28"/>
          <w:lang w:val="cs-CZ"/>
        </w:rPr>
        <w:t>jsou odhodlány se</w:t>
      </w:r>
      <w:r>
        <w:rPr>
          <w:b/>
          <w:bCs/>
          <w:color w:val="339933"/>
          <w:sz w:val="28"/>
          <w:szCs w:val="28"/>
          <w:lang w:val="cs-CZ"/>
        </w:rPr>
        <w:t xml:space="preserve"> bránit</w:t>
      </w:r>
    </w:p>
    <w:p w14:paraId="78B7F3F9" w14:textId="5A723B82" w:rsidR="00A03A29" w:rsidRPr="00257E61" w:rsidRDefault="00A03A29" w:rsidP="00257E61">
      <w:pPr>
        <w:spacing w:after="80" w:line="240" w:lineRule="auto"/>
        <w:jc w:val="both"/>
        <w:rPr>
          <w:rFonts w:eastAsia="Times New Roman"/>
          <w:bCs/>
          <w:color w:val="auto"/>
          <w:bdr w:val="none" w:sz="0" w:space="0" w:color="auto"/>
          <w:lang w:val="cs-CZ"/>
        </w:rPr>
      </w:pPr>
      <w:r w:rsidRPr="00257E61">
        <w:rPr>
          <w:b/>
          <w:bCs/>
          <w:lang w:val="cs-CZ"/>
        </w:rPr>
        <w:t>Po</w:t>
      </w:r>
      <w:r w:rsidR="005C339B" w:rsidRPr="00257E61">
        <w:rPr>
          <w:b/>
          <w:bCs/>
          <w:lang w:val="cs-CZ"/>
        </w:rPr>
        <w:t>volení průzkumných území pro g</w:t>
      </w:r>
      <w:r w:rsidR="00C201CD" w:rsidRPr="00257E61">
        <w:rPr>
          <w:b/>
          <w:bCs/>
          <w:lang w:val="cs-CZ"/>
        </w:rPr>
        <w:t>e</w:t>
      </w:r>
      <w:r w:rsidR="005C339B" w:rsidRPr="00257E61">
        <w:rPr>
          <w:b/>
          <w:bCs/>
          <w:lang w:val="cs-CZ"/>
        </w:rPr>
        <w:t xml:space="preserve">ologické práce pro vyhledávání úložiště na </w:t>
      </w:r>
      <w:r w:rsidR="00C201CD" w:rsidRPr="00257E61">
        <w:rPr>
          <w:b/>
          <w:bCs/>
          <w:lang w:val="cs-CZ"/>
        </w:rPr>
        <w:t xml:space="preserve">lokalitách Březový potok v Pošumaví, </w:t>
      </w:r>
      <w:proofErr w:type="spellStart"/>
      <w:r w:rsidR="00C201CD" w:rsidRPr="00257E61">
        <w:rPr>
          <w:b/>
          <w:bCs/>
          <w:lang w:val="cs-CZ"/>
        </w:rPr>
        <w:t>Janoch</w:t>
      </w:r>
      <w:proofErr w:type="spellEnd"/>
      <w:r w:rsidR="00C201CD" w:rsidRPr="00257E61">
        <w:rPr>
          <w:b/>
          <w:bCs/>
          <w:lang w:val="cs-CZ"/>
        </w:rPr>
        <w:t xml:space="preserve"> u Temelína na Českobudějovicku a Horka na Třebíčsku</w:t>
      </w:r>
      <w:r w:rsidRPr="00257E61">
        <w:rPr>
          <w:b/>
          <w:bCs/>
          <w:lang w:val="cs-CZ"/>
        </w:rPr>
        <w:t xml:space="preserve"> Min</w:t>
      </w:r>
      <w:r w:rsidR="00257E61" w:rsidRPr="00257E61">
        <w:rPr>
          <w:b/>
          <w:bCs/>
          <w:lang w:val="cs-CZ"/>
        </w:rPr>
        <w:t xml:space="preserve">isterstvem životního prostředí </w:t>
      </w:r>
      <w:r w:rsidRPr="00257E61">
        <w:rPr>
          <w:b/>
          <w:bCs/>
          <w:lang w:val="cs-CZ"/>
        </w:rPr>
        <w:t xml:space="preserve">neznamená, že Správa úložišť radioaktivních odpadů může zahájit zpožděné geologické práce. Dotčené obce po prostudování rozhodnutí zváží odvolání k ministrovi Petrovi Hladíkovi. A mnohé jsou odhodlané bránit se i soudní cestou. Když ministerstvo v předchozí etapě v roce 2014 povolilo průzkumná území na sedmi z původních lokalit, soudy po žalobách obcí a spolků šest </w:t>
      </w:r>
      <w:r w:rsidR="00257E61" w:rsidRPr="00257E61">
        <w:rPr>
          <w:b/>
          <w:bCs/>
          <w:lang w:val="cs-CZ"/>
        </w:rPr>
        <w:t>těchto</w:t>
      </w:r>
      <w:r w:rsidRPr="00257E61">
        <w:rPr>
          <w:b/>
          <w:bCs/>
          <w:lang w:val="cs-CZ"/>
        </w:rPr>
        <w:t xml:space="preserve"> povolení zrušily</w:t>
      </w:r>
      <w:r w:rsidR="00257E61" w:rsidRPr="00257E61">
        <w:rPr>
          <w:b/>
          <w:bCs/>
          <w:lang w:val="cs-CZ"/>
        </w:rPr>
        <w:t xml:space="preserve"> </w:t>
      </w:r>
      <w:r w:rsidR="00257E61" w:rsidRPr="00257E61">
        <w:rPr>
          <w:lang w:val="cs-CZ"/>
        </w:rPr>
        <w:t>[1]</w:t>
      </w:r>
      <w:r w:rsidRPr="00257E61">
        <w:rPr>
          <w:b/>
          <w:bCs/>
          <w:lang w:val="cs-CZ"/>
        </w:rPr>
        <w:t xml:space="preserve">.   </w:t>
      </w:r>
    </w:p>
    <w:p w14:paraId="75D4FD85" w14:textId="5D3014AA" w:rsidR="009319DD" w:rsidRPr="00257E61" w:rsidRDefault="00A03A29" w:rsidP="00257E61">
      <w:pPr>
        <w:pStyle w:val="Normlnweb"/>
        <w:spacing w:before="0" w:after="80"/>
        <w:jc w:val="both"/>
        <w:rPr>
          <w:rFonts w:ascii="Calibri" w:eastAsia="Calibri" w:hAnsi="Calibri" w:cs="Calibri"/>
          <w:bCs/>
          <w:sz w:val="22"/>
          <w:szCs w:val="22"/>
        </w:rPr>
      </w:pPr>
      <w:bookmarkStart w:id="0" w:name="_GoBack"/>
      <w:r w:rsidRPr="00257E61">
        <w:rPr>
          <w:rFonts w:ascii="Calibri" w:eastAsia="Calibri" w:hAnsi="Calibri" w:cs="Calibri"/>
          <w:bCs/>
          <w:sz w:val="22"/>
          <w:szCs w:val="22"/>
        </w:rPr>
        <w:t>Protož</w:t>
      </w:r>
      <w:r w:rsidR="00257E61" w:rsidRPr="00257E61">
        <w:rPr>
          <w:rFonts w:ascii="Calibri" w:eastAsia="Calibri" w:hAnsi="Calibri" w:cs="Calibri"/>
          <w:bCs/>
          <w:sz w:val="22"/>
          <w:szCs w:val="22"/>
        </w:rPr>
        <w:t>e</w:t>
      </w:r>
      <w:r w:rsidRPr="00257E61">
        <w:rPr>
          <w:rFonts w:ascii="Calibri" w:eastAsia="Calibri" w:hAnsi="Calibri" w:cs="Calibri"/>
          <w:bCs/>
          <w:sz w:val="22"/>
          <w:szCs w:val="22"/>
        </w:rPr>
        <w:t xml:space="preserve"> v</w:t>
      </w:r>
      <w:r w:rsidR="00110925" w:rsidRPr="00257E61">
        <w:rPr>
          <w:rFonts w:ascii="Calibri" w:eastAsia="Calibri" w:hAnsi="Calibri" w:cs="Calibri"/>
          <w:bCs/>
          <w:sz w:val="22"/>
          <w:szCs w:val="22"/>
        </w:rPr>
        <w:t xml:space="preserve">ypořádání </w:t>
      </w:r>
      <w:r w:rsidR="00632D0D">
        <w:rPr>
          <w:rFonts w:ascii="Calibri" w:eastAsia="Calibri" w:hAnsi="Calibri" w:cs="Calibri"/>
          <w:bCs/>
          <w:sz w:val="22"/>
          <w:szCs w:val="22"/>
        </w:rPr>
        <w:t xml:space="preserve">opodstatněných </w:t>
      </w:r>
      <w:r w:rsidR="00110925" w:rsidRPr="00257E61">
        <w:rPr>
          <w:rFonts w:ascii="Calibri" w:eastAsia="Calibri" w:hAnsi="Calibri" w:cs="Calibri"/>
          <w:bCs/>
          <w:sz w:val="22"/>
          <w:szCs w:val="22"/>
        </w:rPr>
        <w:t>ná</w:t>
      </w:r>
      <w:r w:rsidR="007F521F" w:rsidRPr="00257E61">
        <w:rPr>
          <w:rFonts w:ascii="Calibri" w:eastAsia="Calibri" w:hAnsi="Calibri" w:cs="Calibri"/>
          <w:bCs/>
          <w:sz w:val="22"/>
          <w:szCs w:val="22"/>
        </w:rPr>
        <w:t xml:space="preserve">mitek </w:t>
      </w:r>
      <w:r w:rsidR="00110925" w:rsidRPr="00257E61">
        <w:rPr>
          <w:rFonts w:ascii="Calibri" w:eastAsia="Calibri" w:hAnsi="Calibri" w:cs="Calibri"/>
          <w:bCs/>
          <w:sz w:val="22"/>
          <w:szCs w:val="22"/>
        </w:rPr>
        <w:t xml:space="preserve">obcí a </w:t>
      </w:r>
      <w:r w:rsidR="00110925" w:rsidRPr="006E5BD1">
        <w:rPr>
          <w:rFonts w:ascii="Calibri" w:eastAsia="Calibri" w:hAnsi="Calibri" w:cs="Calibri"/>
          <w:bCs/>
          <w:sz w:val="22"/>
          <w:szCs w:val="22"/>
        </w:rPr>
        <w:t xml:space="preserve">doplňování neúplných podkladů Správy úložišť </w:t>
      </w:r>
      <w:r w:rsidR="007F521F" w:rsidRPr="006E5BD1">
        <w:rPr>
          <w:rFonts w:ascii="Calibri" w:eastAsia="Calibri" w:hAnsi="Calibri" w:cs="Calibri"/>
          <w:bCs/>
          <w:sz w:val="22"/>
          <w:szCs w:val="22"/>
        </w:rPr>
        <w:t>trvalo více</w:t>
      </w:r>
      <w:r w:rsidR="00110925" w:rsidRPr="006E5BD1">
        <w:rPr>
          <w:rFonts w:ascii="Calibri" w:eastAsia="Calibri" w:hAnsi="Calibri" w:cs="Calibri"/>
          <w:bCs/>
          <w:sz w:val="22"/>
          <w:szCs w:val="22"/>
        </w:rPr>
        <w:t xml:space="preserve"> než</w:t>
      </w:r>
      <w:r w:rsidR="00172C9D" w:rsidRPr="006E5BD1">
        <w:rPr>
          <w:rFonts w:ascii="Calibri" w:eastAsia="Calibri" w:hAnsi="Calibri" w:cs="Calibri"/>
          <w:bCs/>
          <w:sz w:val="22"/>
          <w:szCs w:val="22"/>
        </w:rPr>
        <w:t xml:space="preserve"> jeden a půl roku</w:t>
      </w:r>
      <w:r w:rsidRPr="006E5BD1">
        <w:rPr>
          <w:rFonts w:ascii="Calibri" w:eastAsia="Calibri" w:hAnsi="Calibri" w:cs="Calibri"/>
          <w:bCs/>
          <w:sz w:val="22"/>
          <w:szCs w:val="22"/>
        </w:rPr>
        <w:t xml:space="preserve">, je </w:t>
      </w:r>
      <w:r w:rsidR="00257E61" w:rsidRPr="006E5BD1">
        <w:rPr>
          <w:rFonts w:ascii="Calibri" w:eastAsia="Calibri" w:hAnsi="Calibri" w:cs="Calibri"/>
          <w:bCs/>
          <w:sz w:val="22"/>
          <w:szCs w:val="22"/>
        </w:rPr>
        <w:t>z</w:t>
      </w:r>
      <w:r w:rsidR="007F521F" w:rsidRPr="006E5BD1">
        <w:rPr>
          <w:rFonts w:ascii="Calibri" w:eastAsia="Calibri" w:hAnsi="Calibri" w:cs="Calibri"/>
          <w:bCs/>
          <w:sz w:val="22"/>
          <w:szCs w:val="22"/>
        </w:rPr>
        <w:t xml:space="preserve">ahájení </w:t>
      </w:r>
      <w:r w:rsidR="00257E61" w:rsidRPr="006E5BD1">
        <w:rPr>
          <w:rFonts w:ascii="Calibri" w:eastAsia="Calibri" w:hAnsi="Calibri" w:cs="Calibri"/>
          <w:bCs/>
          <w:sz w:val="22"/>
          <w:szCs w:val="22"/>
        </w:rPr>
        <w:t xml:space="preserve">plánovaných </w:t>
      </w:r>
      <w:r w:rsidR="007F521F" w:rsidRPr="006E5BD1">
        <w:rPr>
          <w:rFonts w:ascii="Calibri" w:eastAsia="Calibri" w:hAnsi="Calibri" w:cs="Calibri"/>
          <w:bCs/>
          <w:sz w:val="22"/>
          <w:szCs w:val="22"/>
        </w:rPr>
        <w:t xml:space="preserve">geologických prací již nyní zpožděné </w:t>
      </w:r>
      <w:r w:rsidR="00257E61" w:rsidRPr="006E5BD1">
        <w:rPr>
          <w:rFonts w:ascii="Calibri" w:eastAsia="Calibri" w:hAnsi="Calibri" w:cs="Calibri"/>
          <w:bCs/>
          <w:sz w:val="22"/>
          <w:szCs w:val="22"/>
        </w:rPr>
        <w:t xml:space="preserve">o </w:t>
      </w:r>
      <w:r w:rsidR="007F521F" w:rsidRPr="006E5BD1">
        <w:rPr>
          <w:rFonts w:ascii="Calibri" w:eastAsia="Calibri" w:hAnsi="Calibri" w:cs="Calibri"/>
          <w:bCs/>
          <w:sz w:val="22"/>
          <w:szCs w:val="22"/>
        </w:rPr>
        <w:t xml:space="preserve">deset měsíců a bude narůstat. </w:t>
      </w:r>
      <w:r w:rsidR="006E5BD1" w:rsidRPr="006E5BD1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E5BD1">
        <w:rPr>
          <w:rFonts w:ascii="Calibri" w:eastAsia="Calibri" w:hAnsi="Calibri" w:cs="Calibri"/>
          <w:bCs/>
          <w:sz w:val="22"/>
          <w:szCs w:val="22"/>
        </w:rPr>
        <w:t xml:space="preserve">Navíc hluboké geologické vrty musí získat ještě další </w:t>
      </w:r>
      <w:r w:rsidR="00632D0D">
        <w:rPr>
          <w:rFonts w:ascii="Calibri" w:eastAsia="Calibri" w:hAnsi="Calibri" w:cs="Calibri"/>
          <w:bCs/>
          <w:sz w:val="22"/>
          <w:szCs w:val="22"/>
        </w:rPr>
        <w:t xml:space="preserve">samostatné </w:t>
      </w:r>
      <w:r w:rsidR="006E5BD1">
        <w:rPr>
          <w:rFonts w:ascii="Calibri" w:eastAsia="Calibri" w:hAnsi="Calibri" w:cs="Calibri"/>
          <w:bCs/>
          <w:sz w:val="22"/>
          <w:szCs w:val="22"/>
        </w:rPr>
        <w:t xml:space="preserve">povolení. </w:t>
      </w:r>
      <w:r w:rsidR="006E5BD1" w:rsidRPr="006E5BD1">
        <w:rPr>
          <w:rFonts w:ascii="Calibri" w:eastAsia="Calibri" w:hAnsi="Calibri" w:cs="Calibri"/>
          <w:bCs/>
          <w:sz w:val="22"/>
          <w:szCs w:val="22"/>
        </w:rPr>
        <w:t xml:space="preserve">A protože vláda schválila návrh SÚRAO </w:t>
      </w:r>
      <w:r w:rsidR="006E5BD1" w:rsidRPr="006E5BD1">
        <w:rPr>
          <w:rFonts w:ascii="Calibri" w:hAnsi="Calibri" w:cs="Calibri"/>
          <w:sz w:val="22"/>
          <w:szCs w:val="22"/>
        </w:rPr>
        <w:t>na zkrácení harmonogramu přípravy hlubinného úložiště</w:t>
      </w:r>
      <w:r w:rsidR="00E960F0">
        <w:rPr>
          <w:rFonts w:ascii="Calibri" w:hAnsi="Calibri" w:cs="Calibri"/>
          <w:sz w:val="22"/>
          <w:szCs w:val="22"/>
        </w:rPr>
        <w:t xml:space="preserve"> </w:t>
      </w:r>
      <w:r w:rsidR="00E960F0" w:rsidRPr="006E5BD1">
        <w:rPr>
          <w:rFonts w:ascii="Calibri" w:hAnsi="Calibri" w:cs="Calibri"/>
          <w:sz w:val="22"/>
          <w:szCs w:val="22"/>
        </w:rPr>
        <w:t>[2]</w:t>
      </w:r>
      <w:r w:rsidR="006E5BD1">
        <w:rPr>
          <w:rFonts w:ascii="Calibri" w:hAnsi="Calibri" w:cs="Calibri"/>
          <w:sz w:val="22"/>
          <w:szCs w:val="22"/>
        </w:rPr>
        <w:t xml:space="preserve">, má být o jeho umístění rozhodnuto nejpozději v roce 2028. </w:t>
      </w:r>
      <w:r w:rsidR="006E5BD1" w:rsidRPr="006E5BD1">
        <w:rPr>
          <w:rFonts w:ascii="Calibri" w:hAnsi="Calibri" w:cs="Calibri"/>
          <w:sz w:val="22"/>
          <w:szCs w:val="22"/>
        </w:rPr>
        <w:t xml:space="preserve">Na klíčové geologické práce plánované původně na sedm let </w:t>
      </w:r>
      <w:r w:rsidR="006E5BD1">
        <w:rPr>
          <w:rFonts w:ascii="Calibri" w:hAnsi="Calibri" w:cs="Calibri"/>
          <w:sz w:val="22"/>
          <w:szCs w:val="22"/>
        </w:rPr>
        <w:t>takto ne</w:t>
      </w:r>
      <w:r w:rsidR="006E5BD1" w:rsidRPr="006E5BD1">
        <w:rPr>
          <w:rFonts w:ascii="Calibri" w:hAnsi="Calibri" w:cs="Calibri"/>
          <w:sz w:val="22"/>
          <w:szCs w:val="22"/>
        </w:rPr>
        <w:t xml:space="preserve">zbude </w:t>
      </w:r>
      <w:r w:rsidR="006E5BD1">
        <w:rPr>
          <w:rFonts w:ascii="Calibri" w:hAnsi="Calibri" w:cs="Calibri"/>
          <w:sz w:val="22"/>
          <w:szCs w:val="22"/>
        </w:rPr>
        <w:t>ani</w:t>
      </w:r>
      <w:r w:rsidR="006E5BD1" w:rsidRPr="006E5BD1">
        <w:rPr>
          <w:rFonts w:ascii="Calibri" w:hAnsi="Calibri" w:cs="Calibri"/>
          <w:sz w:val="22"/>
          <w:szCs w:val="22"/>
        </w:rPr>
        <w:t xml:space="preserve"> poloviční čas.</w:t>
      </w:r>
      <w:r w:rsidR="00632D0D">
        <w:rPr>
          <w:rFonts w:ascii="Calibri" w:hAnsi="Calibri" w:cs="Calibri"/>
          <w:sz w:val="22"/>
          <w:szCs w:val="22"/>
        </w:rPr>
        <w:t xml:space="preserve"> M</w:t>
      </w:r>
      <w:r w:rsidR="006E5BD1">
        <w:rPr>
          <w:rFonts w:ascii="Calibri" w:hAnsi="Calibri" w:cs="Calibri"/>
          <w:sz w:val="22"/>
          <w:szCs w:val="22"/>
        </w:rPr>
        <w:t>ísto pro hlubinné úložiště, které má garantovat bezpečnost po statisíce let, tak má být vybráno na základě velmi neúplných dat. Takový spěch</w:t>
      </w:r>
      <w:r w:rsidR="006E5BD1" w:rsidRPr="006E5BD1">
        <w:rPr>
          <w:rFonts w:ascii="Calibri" w:hAnsi="Calibri" w:cs="Calibri"/>
          <w:sz w:val="22"/>
          <w:szCs w:val="22"/>
        </w:rPr>
        <w:t xml:space="preserve"> </w:t>
      </w:r>
      <w:r w:rsidR="00632D0D">
        <w:rPr>
          <w:rFonts w:ascii="Calibri" w:hAnsi="Calibri" w:cs="Calibri"/>
          <w:sz w:val="22"/>
          <w:szCs w:val="22"/>
        </w:rPr>
        <w:t xml:space="preserve">bude </w:t>
      </w:r>
      <w:r w:rsidR="006E5BD1" w:rsidRPr="006E5BD1">
        <w:rPr>
          <w:rFonts w:ascii="Calibri" w:hAnsi="Calibri" w:cs="Calibri"/>
          <w:sz w:val="22"/>
          <w:szCs w:val="22"/>
        </w:rPr>
        <w:t xml:space="preserve">ohrožovat budoucnost obyvatel </w:t>
      </w:r>
      <w:r w:rsidR="006E5BD1">
        <w:rPr>
          <w:rFonts w:ascii="Calibri" w:hAnsi="Calibri" w:cs="Calibri"/>
          <w:sz w:val="22"/>
          <w:szCs w:val="22"/>
        </w:rPr>
        <w:t>v jeho okolí.</w:t>
      </w:r>
    </w:p>
    <w:p w14:paraId="4B5F33DA" w14:textId="4110D3B3" w:rsidR="00317E60" w:rsidRDefault="009319DD" w:rsidP="00257E61">
      <w:pPr>
        <w:pStyle w:val="Normlnweb"/>
        <w:spacing w:before="0" w:after="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Obranný postoj samospráv</w:t>
      </w:r>
      <w:r w:rsidR="00040633">
        <w:rPr>
          <w:rFonts w:ascii="Calibri" w:eastAsia="Calibri" w:hAnsi="Calibri" w:cs="Calibri"/>
          <w:bCs/>
          <w:sz w:val="22"/>
          <w:szCs w:val="22"/>
        </w:rPr>
        <w:t xml:space="preserve"> podporovaný spolky místních občanů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40633">
        <w:rPr>
          <w:rFonts w:ascii="Calibri" w:eastAsia="Calibri" w:hAnsi="Calibri" w:cs="Calibri"/>
          <w:bCs/>
          <w:sz w:val="22"/>
          <w:szCs w:val="22"/>
        </w:rPr>
        <w:t>posilují</w:t>
      </w:r>
      <w:r w:rsidR="0018452B" w:rsidRPr="009319DD">
        <w:rPr>
          <w:rFonts w:ascii="Calibri" w:eastAsia="Calibri" w:hAnsi="Calibri" w:cs="Calibri"/>
          <w:bCs/>
          <w:sz w:val="22"/>
          <w:szCs w:val="22"/>
        </w:rPr>
        <w:t xml:space="preserve"> nesplněné sliby politiků o </w:t>
      </w:r>
      <w:r w:rsidR="00CC11A6">
        <w:rPr>
          <w:rFonts w:ascii="Calibri" w:eastAsia="Calibri" w:hAnsi="Calibri" w:cs="Calibri"/>
          <w:bCs/>
          <w:sz w:val="22"/>
          <w:szCs w:val="22"/>
        </w:rPr>
        <w:t>narovnání</w:t>
      </w:r>
      <w:r w:rsidR="0018452B" w:rsidRPr="009319DD">
        <w:rPr>
          <w:rFonts w:ascii="Calibri" w:eastAsia="Calibri" w:hAnsi="Calibri" w:cs="Calibri"/>
          <w:bCs/>
          <w:sz w:val="22"/>
          <w:szCs w:val="22"/>
        </w:rPr>
        <w:t xml:space="preserve"> práv dotčených o</w:t>
      </w:r>
      <w:r w:rsidR="006E5BD1">
        <w:rPr>
          <w:rFonts w:ascii="Calibri" w:eastAsia="Calibri" w:hAnsi="Calibri" w:cs="Calibri"/>
          <w:bCs/>
          <w:sz w:val="22"/>
          <w:szCs w:val="22"/>
        </w:rPr>
        <w:t>bcí při rozhodování o</w:t>
      </w:r>
      <w:r w:rsidR="00E960F0">
        <w:rPr>
          <w:rFonts w:ascii="Calibri" w:eastAsia="Calibri" w:hAnsi="Calibri" w:cs="Calibri"/>
          <w:bCs/>
          <w:sz w:val="22"/>
          <w:szCs w:val="22"/>
        </w:rPr>
        <w:t xml:space="preserve"> úložišti. Problémem je </w:t>
      </w:r>
      <w:r w:rsidR="0018452B" w:rsidRPr="009319DD">
        <w:rPr>
          <w:rFonts w:ascii="Calibri" w:eastAsia="Calibri" w:hAnsi="Calibri" w:cs="Calibri"/>
          <w:bCs/>
          <w:sz w:val="22"/>
          <w:szCs w:val="22"/>
        </w:rPr>
        <w:t xml:space="preserve">také </w:t>
      </w:r>
      <w:r w:rsidR="00317E60" w:rsidRPr="009319DD">
        <w:rPr>
          <w:rFonts w:ascii="Calibri" w:eastAsia="Calibri" w:hAnsi="Calibri" w:cs="Calibri"/>
          <w:bCs/>
          <w:sz w:val="22"/>
          <w:szCs w:val="22"/>
        </w:rPr>
        <w:t xml:space="preserve">zapomenuté </w:t>
      </w:r>
      <w:r w:rsidR="0018452B" w:rsidRPr="009319DD">
        <w:rPr>
          <w:rFonts w:ascii="Calibri" w:eastAsia="Calibri" w:hAnsi="Calibri" w:cs="Calibri"/>
          <w:bCs/>
          <w:sz w:val="22"/>
          <w:szCs w:val="22"/>
        </w:rPr>
        <w:t xml:space="preserve">prohlášení </w:t>
      </w:r>
      <w:r w:rsidR="00632D0D">
        <w:rPr>
          <w:rFonts w:ascii="Calibri" w:eastAsia="Calibri" w:hAnsi="Calibri" w:cs="Calibri"/>
          <w:bCs/>
          <w:sz w:val="22"/>
          <w:szCs w:val="22"/>
        </w:rPr>
        <w:t>vlády</w:t>
      </w:r>
      <w:r w:rsidR="0018452B" w:rsidRPr="009319DD">
        <w:rPr>
          <w:rFonts w:ascii="Calibri" w:eastAsia="Calibri" w:hAnsi="Calibri" w:cs="Calibri"/>
          <w:bCs/>
          <w:sz w:val="22"/>
          <w:szCs w:val="22"/>
        </w:rPr>
        <w:t xml:space="preserve">, že bude </w:t>
      </w:r>
      <w:r w:rsidR="00317E60" w:rsidRPr="009319DD">
        <w:rPr>
          <w:rFonts w:ascii="Calibri" w:eastAsia="Calibri" w:hAnsi="Calibri" w:cs="Calibri"/>
          <w:bCs/>
          <w:sz w:val="22"/>
          <w:szCs w:val="22"/>
        </w:rPr>
        <w:t>posuzovat</w:t>
      </w:r>
      <w:r w:rsidR="0018452B" w:rsidRPr="009319DD">
        <w:rPr>
          <w:rFonts w:ascii="Calibri" w:eastAsia="Calibri" w:hAnsi="Calibri" w:cs="Calibri"/>
          <w:bCs/>
          <w:sz w:val="22"/>
          <w:szCs w:val="22"/>
        </w:rPr>
        <w:t xml:space="preserve"> i jiná řešení, než je rychlé zavezení </w:t>
      </w:r>
      <w:proofErr w:type="spellStart"/>
      <w:r w:rsidR="006E5BD1">
        <w:rPr>
          <w:rFonts w:ascii="Calibri" w:eastAsia="Calibri" w:hAnsi="Calibri" w:cs="Calibri"/>
          <w:bCs/>
          <w:sz w:val="22"/>
          <w:szCs w:val="22"/>
        </w:rPr>
        <w:t>vysoce</w:t>
      </w:r>
      <w:r w:rsidR="00632D0D">
        <w:rPr>
          <w:rFonts w:ascii="Calibri" w:eastAsia="Calibri" w:hAnsi="Calibri" w:cs="Calibri"/>
          <w:bCs/>
          <w:sz w:val="22"/>
          <w:szCs w:val="22"/>
        </w:rPr>
        <w:t>radioaktivních</w:t>
      </w:r>
      <w:proofErr w:type="spellEnd"/>
      <w:r w:rsidR="00632D0D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8452B" w:rsidRPr="009319DD">
        <w:rPr>
          <w:rFonts w:ascii="Calibri" w:eastAsia="Calibri" w:hAnsi="Calibri" w:cs="Calibri"/>
          <w:bCs/>
          <w:sz w:val="22"/>
          <w:szCs w:val="22"/>
        </w:rPr>
        <w:t>odpadů pod zem</w:t>
      </w:r>
      <w:r w:rsidR="00040633">
        <w:rPr>
          <w:rFonts w:ascii="Calibri" w:eastAsia="Calibri" w:hAnsi="Calibri" w:cs="Calibri"/>
          <w:bCs/>
          <w:sz w:val="22"/>
          <w:szCs w:val="22"/>
        </w:rPr>
        <w:t>.</w:t>
      </w:r>
    </w:p>
    <w:p w14:paraId="00B08917" w14:textId="74E7806F" w:rsidR="00E71A48" w:rsidRPr="00632D0D" w:rsidRDefault="00314A45" w:rsidP="00632D0D">
      <w:pPr>
        <w:spacing w:after="120" w:line="240" w:lineRule="auto"/>
        <w:jc w:val="both"/>
        <w:rPr>
          <w:b/>
          <w:color w:val="auto"/>
          <w:lang w:val="cs-CZ"/>
        </w:rPr>
      </w:pPr>
      <w:r w:rsidRPr="001948AB">
        <w:rPr>
          <w:b/>
          <w:color w:val="auto"/>
          <w:lang w:val="cs-CZ"/>
        </w:rPr>
        <w:t>Michael Forman, mluvčí Platformy proti hlubinnému úložišti</w:t>
      </w:r>
      <w:r>
        <w:rPr>
          <w:b/>
          <w:color w:val="auto"/>
          <w:lang w:val="cs-CZ"/>
        </w:rPr>
        <w:t xml:space="preserve"> a starosta města Horažďovice</w:t>
      </w:r>
      <w:r w:rsidRPr="001948AB">
        <w:rPr>
          <w:b/>
          <w:color w:val="auto"/>
          <w:lang w:val="cs-CZ"/>
        </w:rPr>
        <w:t xml:space="preserve"> </w:t>
      </w:r>
      <w:r w:rsidR="00632D0D">
        <w:rPr>
          <w:b/>
          <w:color w:val="auto"/>
          <w:lang w:val="cs-CZ"/>
        </w:rPr>
        <w:t xml:space="preserve">z lokality Březový potok </w:t>
      </w:r>
      <w:r w:rsidRPr="001948AB">
        <w:rPr>
          <w:b/>
          <w:color w:val="auto"/>
          <w:lang w:val="cs-CZ"/>
        </w:rPr>
        <w:t>řekl</w:t>
      </w:r>
      <w:r w:rsidRPr="001948AB">
        <w:rPr>
          <w:b/>
          <w:color w:val="000000" w:themeColor="text1"/>
          <w:lang w:val="cs-CZ"/>
        </w:rPr>
        <w:t>:</w:t>
      </w:r>
      <w:r w:rsidRPr="001948AB">
        <w:rPr>
          <w:b/>
          <w:i/>
          <w:color w:val="000000" w:themeColor="text1"/>
          <w:lang w:val="cs-CZ"/>
        </w:rPr>
        <w:t xml:space="preserve"> </w:t>
      </w:r>
      <w:r w:rsidR="00E960F0">
        <w:t>„</w:t>
      </w:r>
      <w:r w:rsidR="00E960F0" w:rsidRPr="00E960F0">
        <w:rPr>
          <w:i/>
          <w:lang w:val="cs-CZ"/>
        </w:rPr>
        <w:t>Obce, kterým hrozí stavba hlubinného úložiště, jsou připraveny využít na obranu svých zájmů všech dostupných prostředků. Včerejší povolení průzkumných území po více jak roce a půl od podání žádostí SÚRAO, ukazuje jak složité to pro vládu, která odmítla slíbené narovnání práv obcí při rozhodování, bude. Již je naprosto jasné, že plánovaný harmonogram nemůže byt dodržen a pokud na něm vláda bude trvat, bylo by to zřetelně na úkor bezpečnosti, která je vyhlašována jako nejdůležitější parametr. Spěch a lehkovážný přístup Správy úložišť tu ale není na místě.“</w:t>
      </w:r>
    </w:p>
    <w:bookmarkEnd w:id="0"/>
    <w:p w14:paraId="038D2042" w14:textId="77777777" w:rsidR="00632D0D" w:rsidRDefault="00632D0D" w:rsidP="00257E61">
      <w:pPr>
        <w:spacing w:after="0" w:line="240" w:lineRule="auto"/>
        <w:jc w:val="both"/>
        <w:rPr>
          <w:b/>
          <w:bCs/>
          <w:lang w:val="cs-CZ"/>
        </w:rPr>
      </w:pPr>
    </w:p>
    <w:p w14:paraId="037AFC78" w14:textId="1A9691E2" w:rsidR="004525B5" w:rsidRPr="001948AB" w:rsidRDefault="00E8105D" w:rsidP="00257E61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948AB">
        <w:rPr>
          <w:b/>
          <w:bCs/>
          <w:lang w:val="cs-CZ"/>
        </w:rPr>
        <w:t>Platforma proti hlubinnému úložišti</w:t>
      </w:r>
      <w:r w:rsidR="00257E61">
        <w:rPr>
          <w:lang w:val="cs-CZ"/>
        </w:rPr>
        <w:t xml:space="preserve">, </w:t>
      </w:r>
      <w:proofErr w:type="spellStart"/>
      <w:r w:rsidR="00257E61">
        <w:rPr>
          <w:b/>
          <w:bCs/>
        </w:rPr>
        <w:t>která</w:t>
      </w:r>
      <w:proofErr w:type="spellEnd"/>
      <w:r w:rsidR="00257E61">
        <w:rPr>
          <w:b/>
          <w:bCs/>
        </w:rPr>
        <w:t xml:space="preserve"> </w:t>
      </w:r>
      <w:proofErr w:type="spellStart"/>
      <w:r w:rsidR="00257E61">
        <w:rPr>
          <w:b/>
          <w:bCs/>
        </w:rPr>
        <w:t>sdružuje</w:t>
      </w:r>
      <w:proofErr w:type="spellEnd"/>
      <w:r w:rsidR="00257E61">
        <w:rPr>
          <w:b/>
          <w:bCs/>
        </w:rPr>
        <w:t xml:space="preserve"> 57 </w:t>
      </w:r>
      <w:proofErr w:type="spellStart"/>
      <w:r w:rsidR="00257E61">
        <w:rPr>
          <w:b/>
          <w:bCs/>
        </w:rPr>
        <w:t>členů</w:t>
      </w:r>
      <w:proofErr w:type="spellEnd"/>
      <w:r w:rsidR="00257E61">
        <w:rPr>
          <w:b/>
          <w:bCs/>
        </w:rPr>
        <w:t xml:space="preserve"> (39 </w:t>
      </w:r>
      <w:proofErr w:type="spellStart"/>
      <w:r w:rsidR="00257E61">
        <w:rPr>
          <w:b/>
          <w:bCs/>
        </w:rPr>
        <w:t>obcí</w:t>
      </w:r>
      <w:proofErr w:type="spellEnd"/>
      <w:r w:rsidR="00257E61">
        <w:rPr>
          <w:b/>
          <w:bCs/>
        </w:rPr>
        <w:t xml:space="preserve"> a </w:t>
      </w:r>
      <w:proofErr w:type="spellStart"/>
      <w:r w:rsidR="00257E61">
        <w:rPr>
          <w:b/>
          <w:bCs/>
        </w:rPr>
        <w:t>měst</w:t>
      </w:r>
      <w:proofErr w:type="spellEnd"/>
      <w:r w:rsidR="00257E61">
        <w:rPr>
          <w:b/>
          <w:bCs/>
        </w:rPr>
        <w:t xml:space="preserve"> a 18 </w:t>
      </w:r>
      <w:proofErr w:type="spellStart"/>
      <w:r w:rsidR="00257E61">
        <w:rPr>
          <w:b/>
          <w:bCs/>
        </w:rPr>
        <w:t>spolků</w:t>
      </w:r>
      <w:proofErr w:type="spellEnd"/>
      <w:r w:rsidR="00257E61">
        <w:rPr>
          <w:b/>
          <w:bCs/>
        </w:rPr>
        <w:t xml:space="preserve">), </w:t>
      </w:r>
      <w:r w:rsidR="00040633">
        <w:rPr>
          <w:lang w:val="cs-CZ"/>
        </w:rPr>
        <w:t>usiluje o</w:t>
      </w:r>
      <w:r w:rsidRPr="001948AB">
        <w:rPr>
          <w:lang w:val="cs-CZ"/>
        </w:rPr>
        <w:t xml:space="preserve"> </w:t>
      </w:r>
      <w:r w:rsidRPr="001948AB">
        <w:rPr>
          <w:rStyle w:val="Siln"/>
          <w:lang w:val="cs-CZ"/>
        </w:rPr>
        <w:t>prosazení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948AB">
        <w:rPr>
          <w:rStyle w:val="Siln"/>
          <w:lang w:val="cs-CZ"/>
        </w:rPr>
        <w:t>rozhodnutí o výběru lokality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>pro případné ukládání bylo</w:t>
      </w:r>
      <w:r w:rsidRPr="001948AB">
        <w:rPr>
          <w:b/>
          <w:lang w:val="cs-CZ"/>
        </w:rPr>
        <w:t xml:space="preserve"> </w:t>
      </w:r>
      <w:r w:rsidRPr="001948AB">
        <w:rPr>
          <w:rStyle w:val="Siln"/>
          <w:lang w:val="cs-CZ"/>
        </w:rPr>
        <w:t>podmíněno předchozím souhlasem dotčených obcí</w:t>
      </w:r>
      <w:r w:rsidRPr="001948AB">
        <w:rPr>
          <w:b/>
          <w:lang w:val="cs-CZ"/>
        </w:rPr>
        <w:t xml:space="preserve">. </w:t>
      </w:r>
      <w:hyperlink r:id="rId8" w:history="1">
        <w:r w:rsidRPr="001948AB">
          <w:rPr>
            <w:rStyle w:val="Hyperlink0"/>
            <w:lang w:val="cs-CZ"/>
          </w:rPr>
          <w:t>www.platformaprotiulozisti.cz</w:t>
        </w:r>
      </w:hyperlink>
    </w:p>
    <w:p w14:paraId="2116F81F" w14:textId="77777777" w:rsidR="00192903" w:rsidRDefault="00192903" w:rsidP="00257E61">
      <w:pPr>
        <w:spacing w:after="0" w:line="240" w:lineRule="auto"/>
        <w:rPr>
          <w:b/>
          <w:bCs/>
          <w:u w:val="single"/>
          <w:lang w:val="cs-CZ"/>
        </w:rPr>
      </w:pPr>
    </w:p>
    <w:p w14:paraId="12E6C224" w14:textId="77777777" w:rsidR="00E8105D" w:rsidRPr="001948AB" w:rsidRDefault="00E8105D" w:rsidP="00257E61">
      <w:pPr>
        <w:spacing w:after="0" w:line="240" w:lineRule="auto"/>
        <w:rPr>
          <w:b/>
          <w:bCs/>
          <w:u w:val="single"/>
          <w:lang w:val="cs-CZ"/>
        </w:rPr>
      </w:pPr>
      <w:r w:rsidRPr="001948AB">
        <w:rPr>
          <w:b/>
          <w:bCs/>
          <w:u w:val="single"/>
          <w:lang w:val="cs-CZ"/>
        </w:rPr>
        <w:t xml:space="preserve">Další informace může poskytnout: </w:t>
      </w:r>
    </w:p>
    <w:p w14:paraId="39B2AD74" w14:textId="77777777" w:rsidR="00E8105D" w:rsidRPr="001948AB" w:rsidRDefault="00DD33E1" w:rsidP="00257E61">
      <w:pPr>
        <w:spacing w:after="0" w:line="240" w:lineRule="auto"/>
        <w:rPr>
          <w:rFonts w:eastAsia="Times New Roman"/>
          <w:bCs/>
          <w:lang w:val="cs-CZ"/>
        </w:rPr>
      </w:pPr>
      <w:r w:rsidRPr="001948AB">
        <w:rPr>
          <w:b/>
          <w:iCs/>
          <w:lang w:val="cs-CZ"/>
        </w:rPr>
        <w:t>Michael Forman</w:t>
      </w:r>
      <w:r w:rsidR="00E8105D" w:rsidRPr="001948AB">
        <w:rPr>
          <w:iCs/>
          <w:lang w:val="cs-CZ"/>
        </w:rPr>
        <w:t xml:space="preserve">, </w:t>
      </w:r>
      <w:r w:rsidR="00E8105D" w:rsidRPr="001948AB">
        <w:rPr>
          <w:lang w:val="cs-CZ"/>
        </w:rPr>
        <w:t>mluvčí Platformy proti hlubinnému úložišti a</w:t>
      </w:r>
      <w:r w:rsidR="00E8105D" w:rsidRPr="001948AB">
        <w:rPr>
          <w:rFonts w:eastAsia="Times New Roman"/>
          <w:bCs/>
          <w:lang w:val="cs-CZ"/>
        </w:rPr>
        <w:t xml:space="preserve"> starosta </w:t>
      </w:r>
      <w:r w:rsidRPr="001948AB">
        <w:rPr>
          <w:rFonts w:eastAsia="Times New Roman"/>
          <w:bCs/>
          <w:lang w:val="cs-CZ"/>
        </w:rPr>
        <w:t>města Horažďovice</w:t>
      </w:r>
    </w:p>
    <w:p w14:paraId="7F29F2D5" w14:textId="315149BB" w:rsidR="00A83E3B" w:rsidRDefault="00DD33E1" w:rsidP="00257E61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  <w:r w:rsidRPr="001948AB">
        <w:rPr>
          <w:rFonts w:eastAsia="Times New Roman"/>
          <w:bCs/>
          <w:color w:val="auto"/>
          <w:bdr w:val="none" w:sz="0" w:space="0" w:color="auto"/>
          <w:lang w:val="cs-CZ"/>
        </w:rPr>
        <w:t xml:space="preserve">tel.: 724 181 019, e-mail: </w:t>
      </w:r>
      <w:hyperlink r:id="rId9" w:history="1">
        <w:r w:rsidRPr="001948AB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forman@muhorazdovice.cz</w:t>
        </w:r>
      </w:hyperlink>
    </w:p>
    <w:p w14:paraId="48E0C3EF" w14:textId="77777777" w:rsidR="00A03A29" w:rsidRDefault="00A03A29" w:rsidP="00257E61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</w:p>
    <w:p w14:paraId="4E6CFC81" w14:textId="77777777" w:rsidR="006E5BD1" w:rsidRDefault="006E5BD1" w:rsidP="00257E61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5963953B" w14:textId="77777777" w:rsidR="00A03A29" w:rsidRPr="001948AB" w:rsidRDefault="00A03A29" w:rsidP="00257E61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1948AB">
        <w:rPr>
          <w:rStyle w:val="None"/>
          <w:b/>
          <w:bCs/>
          <w:u w:val="single"/>
          <w:lang w:val="cs-CZ"/>
        </w:rPr>
        <w:t>Poznámky:</w:t>
      </w:r>
    </w:p>
    <w:p w14:paraId="22B0FA92" w14:textId="77376D2E" w:rsidR="00257E61" w:rsidRDefault="00A03A29" w:rsidP="00257E61">
      <w:pPr>
        <w:spacing w:after="80" w:line="240" w:lineRule="auto"/>
        <w:rPr>
          <w:lang w:val="cs-CZ"/>
        </w:rPr>
      </w:pPr>
      <w:r w:rsidRPr="00085FF3">
        <w:rPr>
          <w:lang w:val="cs-CZ"/>
        </w:rPr>
        <w:t>[1]</w:t>
      </w:r>
      <w:r w:rsidR="00257E61">
        <w:rPr>
          <w:lang w:val="cs-CZ"/>
        </w:rPr>
        <w:t xml:space="preserve"> </w:t>
      </w:r>
      <w:r w:rsidR="006E5BD1" w:rsidRPr="006E5BD1">
        <w:rPr>
          <w:i/>
          <w:lang w:val="cs-CZ"/>
        </w:rPr>
        <w:t>„</w:t>
      </w:r>
      <w:hyperlink r:id="rId10" w:history="1">
        <w:r w:rsidR="00257E61" w:rsidRPr="006E5BD1">
          <w:rPr>
            <w:rStyle w:val="Hypertextovodkaz"/>
            <w:i/>
            <w:lang w:val="cs-CZ"/>
          </w:rPr>
          <w:t>Už šesté průzkumné území pro úložiště zrušil soud - Obce a spolky opět vyhrály nad nekvalitní prací státních úředníků</w:t>
        </w:r>
      </w:hyperlink>
      <w:r w:rsidR="006E5BD1" w:rsidRPr="006E5BD1">
        <w:rPr>
          <w:i/>
          <w:lang w:val="cs-CZ"/>
        </w:rPr>
        <w:t>“</w:t>
      </w:r>
      <w:r w:rsidR="00257E61" w:rsidRPr="006E5BD1">
        <w:rPr>
          <w:i/>
          <w:lang w:val="cs-CZ"/>
        </w:rPr>
        <w:t>,</w:t>
      </w:r>
      <w:r w:rsidR="00257E61">
        <w:rPr>
          <w:lang w:val="cs-CZ"/>
        </w:rPr>
        <w:t xml:space="preserve"> </w:t>
      </w:r>
      <w:r w:rsidR="00257E61" w:rsidRPr="00257E61">
        <w:rPr>
          <w:lang w:val="cs-CZ"/>
        </w:rPr>
        <w:t>Tisková zpráva Platformy proti hlubinnému úložišti z 8. listopadu 2018</w:t>
      </w:r>
    </w:p>
    <w:p w14:paraId="7A897FB0" w14:textId="1713ED37" w:rsidR="00257E61" w:rsidRPr="00257E61" w:rsidRDefault="00257E61" w:rsidP="00257E61">
      <w:pPr>
        <w:spacing w:after="80" w:line="240" w:lineRule="auto"/>
        <w:rPr>
          <w:lang w:val="cs-CZ"/>
        </w:rPr>
      </w:pPr>
      <w:r>
        <w:rPr>
          <w:lang w:val="cs-CZ"/>
        </w:rPr>
        <w:t>[2</w:t>
      </w:r>
      <w:r w:rsidRPr="00085FF3">
        <w:rPr>
          <w:lang w:val="cs-CZ"/>
        </w:rPr>
        <w:t>]</w:t>
      </w:r>
      <w:r>
        <w:rPr>
          <w:lang w:val="cs-CZ"/>
        </w:rPr>
        <w:t xml:space="preserve"> </w:t>
      </w:r>
      <w:hyperlink r:id="rId11" w:history="1">
        <w:proofErr w:type="spellStart"/>
        <w:r w:rsidRPr="006E5BD1">
          <w:rPr>
            <w:rStyle w:val="Hypertextovodkaz"/>
          </w:rPr>
          <w:t>Technická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zpráva</w:t>
        </w:r>
        <w:proofErr w:type="spellEnd"/>
        <w:r w:rsidRPr="006E5BD1">
          <w:rPr>
            <w:rStyle w:val="Hypertextovodkaz"/>
          </w:rPr>
          <w:t xml:space="preserve"> 601/2022 - „</w:t>
        </w:r>
        <w:proofErr w:type="spellStart"/>
        <w:r w:rsidRPr="006E5BD1">
          <w:rPr>
            <w:rStyle w:val="Hypertextovodkaz"/>
          </w:rPr>
          <w:t>Vyhodnocení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vlivu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doplňkového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aktu</w:t>
        </w:r>
        <w:proofErr w:type="spellEnd"/>
        <w:r w:rsidRPr="006E5BD1">
          <w:rPr>
            <w:rStyle w:val="Hypertextovodkaz"/>
          </w:rPr>
          <w:t xml:space="preserve"> v </w:t>
        </w:r>
        <w:proofErr w:type="spellStart"/>
        <w:r w:rsidRPr="006E5BD1">
          <w:rPr>
            <w:rStyle w:val="Hypertextovodkaz"/>
          </w:rPr>
          <w:t>přenesené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pravomoci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otaxonomii</w:t>
        </w:r>
        <w:proofErr w:type="spellEnd"/>
        <w:r w:rsidRPr="006E5BD1">
          <w:rPr>
            <w:rStyle w:val="Hypertextovodkaz"/>
          </w:rPr>
          <w:t xml:space="preserve"> pro </w:t>
        </w:r>
        <w:proofErr w:type="spellStart"/>
        <w:r w:rsidRPr="006E5BD1">
          <w:rPr>
            <w:rStyle w:val="Hypertextovodkaz"/>
          </w:rPr>
          <w:t>oblast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klimatu</w:t>
        </w:r>
        <w:proofErr w:type="spellEnd"/>
        <w:r w:rsidRPr="006E5BD1">
          <w:rPr>
            <w:rStyle w:val="Hypertextovodkaz"/>
          </w:rPr>
          <w:t xml:space="preserve"> do </w:t>
        </w:r>
        <w:proofErr w:type="spellStart"/>
        <w:r w:rsidRPr="006E5BD1">
          <w:rPr>
            <w:rStyle w:val="Hypertextovodkaz"/>
          </w:rPr>
          <w:t>systému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nakládání</w:t>
        </w:r>
        <w:proofErr w:type="spellEnd"/>
        <w:r w:rsidRPr="006E5BD1">
          <w:rPr>
            <w:rStyle w:val="Hypertextovodkaz"/>
          </w:rPr>
          <w:t xml:space="preserve"> s RAO v ČR </w:t>
        </w:r>
        <w:proofErr w:type="spellStart"/>
        <w:r w:rsidRPr="006E5BD1">
          <w:rPr>
            <w:rStyle w:val="Hypertextovodkaz"/>
          </w:rPr>
          <w:t>ve</w:t>
        </w:r>
        <w:proofErr w:type="spellEnd"/>
        <w:r w:rsidRPr="006E5BD1">
          <w:rPr>
            <w:rStyle w:val="Hypertextovodkaz"/>
          </w:rPr>
          <w:t xml:space="preserve"> </w:t>
        </w:r>
        <w:proofErr w:type="spellStart"/>
        <w:r w:rsidRPr="006E5BD1">
          <w:rPr>
            <w:rStyle w:val="Hypertextovodkaz"/>
          </w:rPr>
          <w:t>vztahu</w:t>
        </w:r>
        <w:proofErr w:type="spellEnd"/>
        <w:r w:rsidRPr="006E5BD1">
          <w:rPr>
            <w:rStyle w:val="Hypertextovodkaz"/>
          </w:rPr>
          <w:t xml:space="preserve"> k </w:t>
        </w:r>
        <w:proofErr w:type="spellStart"/>
        <w:r w:rsidRPr="006E5BD1">
          <w:rPr>
            <w:rStyle w:val="Hypertextovodkaz"/>
          </w:rPr>
          <w:t>činnostem</w:t>
        </w:r>
        <w:proofErr w:type="spellEnd"/>
        <w:r w:rsidRPr="006E5BD1">
          <w:rPr>
            <w:rStyle w:val="Hypertextovodkaz"/>
          </w:rPr>
          <w:t xml:space="preserve"> SÚRAO“</w:t>
        </w:r>
      </w:hyperlink>
      <w:r>
        <w:t xml:space="preserve">, </w:t>
      </w:r>
      <w:proofErr w:type="spellStart"/>
      <w:r>
        <w:t>Lukáš</w:t>
      </w:r>
      <w:proofErr w:type="spellEnd"/>
      <w:r>
        <w:t xml:space="preserve"> </w:t>
      </w:r>
      <w:proofErr w:type="spellStart"/>
      <w:r>
        <w:t>Vondrovic</w:t>
      </w:r>
      <w:proofErr w:type="spellEnd"/>
      <w:r>
        <w:t xml:space="preserve"> a </w:t>
      </w:r>
      <w:proofErr w:type="spellStart"/>
      <w:r>
        <w:t>kolektiv</w:t>
      </w:r>
      <w:proofErr w:type="spellEnd"/>
      <w:r>
        <w:t>, 2022</w:t>
      </w:r>
    </w:p>
    <w:sectPr w:rsidR="00257E61" w:rsidRPr="00257E61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0934" w14:textId="77777777" w:rsidR="00834950" w:rsidRDefault="00834950">
      <w:pPr>
        <w:spacing w:after="0" w:line="240" w:lineRule="auto"/>
      </w:pPr>
      <w:r>
        <w:separator/>
      </w:r>
    </w:p>
  </w:endnote>
  <w:endnote w:type="continuationSeparator" w:id="0">
    <w:p w14:paraId="398ECC71" w14:textId="77777777" w:rsidR="00834950" w:rsidRDefault="0083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327B" w14:textId="77777777"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14:paraId="77A95DEA" w14:textId="77777777"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14:paraId="3784D3EB" w14:textId="77777777" w:rsidR="001C413B" w:rsidRPr="001C413B" w:rsidRDefault="00203586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Michael Forman, starosta města Horažďovice</w:t>
    </w:r>
  </w:p>
  <w:p w14:paraId="7DC2A639" w14:textId="77777777"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203586">
      <w:rPr>
        <w:rFonts w:eastAsia="Times New Roman" w:cs="Times New Roman"/>
        <w:bCs/>
        <w:sz w:val="24"/>
        <w:szCs w:val="24"/>
      </w:rPr>
      <w:t>724 181 019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203586">
      <w:rPr>
        <w:rFonts w:eastAsia="Times New Roman" w:cs="Times New Roman"/>
        <w:bCs/>
        <w:sz w:val="24"/>
        <w:szCs w:val="24"/>
      </w:rPr>
      <w:t>forman</w:t>
    </w:r>
    <w:r w:rsidR="00E95939" w:rsidRPr="00E95939">
      <w:rPr>
        <w:rFonts w:eastAsia="Times New Roman" w:cs="Times New Roman"/>
        <w:bCs/>
        <w:sz w:val="24"/>
        <w:szCs w:val="24"/>
      </w:rPr>
      <w:t>@</w:t>
    </w:r>
    <w:r w:rsidR="00203586">
      <w:rPr>
        <w:rFonts w:eastAsia="Times New Roman" w:cs="Times New Roman"/>
        <w:bCs/>
        <w:sz w:val="24"/>
        <w:szCs w:val="24"/>
      </w:rPr>
      <w:t>muh</w:t>
    </w:r>
    <w:r w:rsidR="003E0D94">
      <w:rPr>
        <w:rFonts w:eastAsia="Times New Roman" w:cs="Times New Roman"/>
        <w:bCs/>
        <w:sz w:val="24"/>
        <w:szCs w:val="24"/>
      </w:rPr>
      <w:t>o</w:t>
    </w:r>
    <w:r w:rsidR="00203586">
      <w:rPr>
        <w:rFonts w:eastAsia="Times New Roman" w:cs="Times New Roman"/>
        <w:bCs/>
        <w:sz w:val="24"/>
        <w:szCs w:val="24"/>
      </w:rPr>
      <w:t>razdovice</w:t>
    </w:r>
    <w:r w:rsidR="00E95939" w:rsidRPr="00E95939">
      <w:rPr>
        <w:rFonts w:eastAsia="Times New Roman" w:cs="Times New Roman"/>
        <w:bCs/>
        <w:sz w:val="24"/>
        <w:szCs w:val="24"/>
      </w:rPr>
      <w:t>.cz</w:t>
    </w:r>
  </w:p>
  <w:p w14:paraId="2F6FE054" w14:textId="77777777"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2D781" w14:textId="77777777" w:rsidR="00834950" w:rsidRDefault="00834950">
      <w:pPr>
        <w:spacing w:after="0" w:line="240" w:lineRule="auto"/>
      </w:pPr>
      <w:r>
        <w:separator/>
      </w:r>
    </w:p>
  </w:footnote>
  <w:footnote w:type="continuationSeparator" w:id="0">
    <w:p w14:paraId="75F6FC16" w14:textId="77777777" w:rsidR="00834950" w:rsidRDefault="0083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2D87" w14:textId="77777777"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ED5827" wp14:editId="5B5BCD99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1B55B13" w14:textId="77777777"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14:paraId="5573C93C" w14:textId="77777777"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14:paraId="55FBDAD6" w14:textId="77777777"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03199"/>
    <w:rsid w:val="000035EF"/>
    <w:rsid w:val="00010E43"/>
    <w:rsid w:val="0001569C"/>
    <w:rsid w:val="000301F4"/>
    <w:rsid w:val="0003189A"/>
    <w:rsid w:val="000343BF"/>
    <w:rsid w:val="00040633"/>
    <w:rsid w:val="00052BB2"/>
    <w:rsid w:val="00085FF3"/>
    <w:rsid w:val="000D4D9F"/>
    <w:rsid w:val="000F4021"/>
    <w:rsid w:val="00110140"/>
    <w:rsid w:val="00110925"/>
    <w:rsid w:val="00130AC1"/>
    <w:rsid w:val="001343FE"/>
    <w:rsid w:val="00136CDA"/>
    <w:rsid w:val="00170820"/>
    <w:rsid w:val="00172BA7"/>
    <w:rsid w:val="00172C9D"/>
    <w:rsid w:val="0018452B"/>
    <w:rsid w:val="00192903"/>
    <w:rsid w:val="001948AB"/>
    <w:rsid w:val="001B109D"/>
    <w:rsid w:val="001C413B"/>
    <w:rsid w:val="00203586"/>
    <w:rsid w:val="00204E0F"/>
    <w:rsid w:val="00205C59"/>
    <w:rsid w:val="00220761"/>
    <w:rsid w:val="0022242E"/>
    <w:rsid w:val="002459D8"/>
    <w:rsid w:val="00257E61"/>
    <w:rsid w:val="00263D83"/>
    <w:rsid w:val="002763F2"/>
    <w:rsid w:val="00291488"/>
    <w:rsid w:val="00304961"/>
    <w:rsid w:val="0030547D"/>
    <w:rsid w:val="00307919"/>
    <w:rsid w:val="00314A45"/>
    <w:rsid w:val="00314DDF"/>
    <w:rsid w:val="00317E60"/>
    <w:rsid w:val="0038291B"/>
    <w:rsid w:val="003B213A"/>
    <w:rsid w:val="003D7EE4"/>
    <w:rsid w:val="003E0D94"/>
    <w:rsid w:val="003E6B0C"/>
    <w:rsid w:val="003F764E"/>
    <w:rsid w:val="0040005F"/>
    <w:rsid w:val="00401C46"/>
    <w:rsid w:val="0044339A"/>
    <w:rsid w:val="00446313"/>
    <w:rsid w:val="004525B5"/>
    <w:rsid w:val="00454C23"/>
    <w:rsid w:val="00457C69"/>
    <w:rsid w:val="00493088"/>
    <w:rsid w:val="004A145A"/>
    <w:rsid w:val="004A5DD3"/>
    <w:rsid w:val="004A5E19"/>
    <w:rsid w:val="004A6619"/>
    <w:rsid w:val="004B56DA"/>
    <w:rsid w:val="004C6BBC"/>
    <w:rsid w:val="004E0874"/>
    <w:rsid w:val="00505448"/>
    <w:rsid w:val="005218B0"/>
    <w:rsid w:val="00524E92"/>
    <w:rsid w:val="005340E3"/>
    <w:rsid w:val="005526EA"/>
    <w:rsid w:val="005531B1"/>
    <w:rsid w:val="00553E60"/>
    <w:rsid w:val="00570BAC"/>
    <w:rsid w:val="00594BC4"/>
    <w:rsid w:val="005B31F6"/>
    <w:rsid w:val="005C339B"/>
    <w:rsid w:val="005C395B"/>
    <w:rsid w:val="00617C89"/>
    <w:rsid w:val="00626F65"/>
    <w:rsid w:val="00632D0D"/>
    <w:rsid w:val="00637B97"/>
    <w:rsid w:val="00642E4C"/>
    <w:rsid w:val="00664AAA"/>
    <w:rsid w:val="006743F3"/>
    <w:rsid w:val="0068593E"/>
    <w:rsid w:val="00695C37"/>
    <w:rsid w:val="006E217C"/>
    <w:rsid w:val="006E30CF"/>
    <w:rsid w:val="006E5BD1"/>
    <w:rsid w:val="00707A5F"/>
    <w:rsid w:val="00723A42"/>
    <w:rsid w:val="00780005"/>
    <w:rsid w:val="007844CB"/>
    <w:rsid w:val="00796A0E"/>
    <w:rsid w:val="007B6F77"/>
    <w:rsid w:val="007F521F"/>
    <w:rsid w:val="00817D27"/>
    <w:rsid w:val="008214B9"/>
    <w:rsid w:val="00823C3E"/>
    <w:rsid w:val="00824A28"/>
    <w:rsid w:val="00834950"/>
    <w:rsid w:val="00835665"/>
    <w:rsid w:val="008441A0"/>
    <w:rsid w:val="00865427"/>
    <w:rsid w:val="00893DED"/>
    <w:rsid w:val="008A507E"/>
    <w:rsid w:val="008B1D22"/>
    <w:rsid w:val="008E01AA"/>
    <w:rsid w:val="008E591E"/>
    <w:rsid w:val="009112FF"/>
    <w:rsid w:val="009319DD"/>
    <w:rsid w:val="0097676E"/>
    <w:rsid w:val="00981C79"/>
    <w:rsid w:val="00985629"/>
    <w:rsid w:val="00994882"/>
    <w:rsid w:val="009D2E33"/>
    <w:rsid w:val="009E4F51"/>
    <w:rsid w:val="00A03A29"/>
    <w:rsid w:val="00A14EF6"/>
    <w:rsid w:val="00A341D4"/>
    <w:rsid w:val="00A83E3B"/>
    <w:rsid w:val="00AA1A3A"/>
    <w:rsid w:val="00AB250B"/>
    <w:rsid w:val="00AE61C5"/>
    <w:rsid w:val="00AF09C9"/>
    <w:rsid w:val="00B03A37"/>
    <w:rsid w:val="00B1135C"/>
    <w:rsid w:val="00B24336"/>
    <w:rsid w:val="00B55AEC"/>
    <w:rsid w:val="00B90A9C"/>
    <w:rsid w:val="00BB4AAA"/>
    <w:rsid w:val="00BB5424"/>
    <w:rsid w:val="00BB5814"/>
    <w:rsid w:val="00BC5DF4"/>
    <w:rsid w:val="00C201CD"/>
    <w:rsid w:val="00C24F00"/>
    <w:rsid w:val="00C5695B"/>
    <w:rsid w:val="00C57399"/>
    <w:rsid w:val="00C65078"/>
    <w:rsid w:val="00C825D9"/>
    <w:rsid w:val="00C875B0"/>
    <w:rsid w:val="00CA0C0D"/>
    <w:rsid w:val="00CA3C76"/>
    <w:rsid w:val="00CC11A6"/>
    <w:rsid w:val="00CD7A04"/>
    <w:rsid w:val="00D238A2"/>
    <w:rsid w:val="00D27E0B"/>
    <w:rsid w:val="00D33B55"/>
    <w:rsid w:val="00D45815"/>
    <w:rsid w:val="00D553D0"/>
    <w:rsid w:val="00D70160"/>
    <w:rsid w:val="00D770BD"/>
    <w:rsid w:val="00DB2818"/>
    <w:rsid w:val="00DC6A09"/>
    <w:rsid w:val="00DD33E1"/>
    <w:rsid w:val="00E005FD"/>
    <w:rsid w:val="00E051E9"/>
    <w:rsid w:val="00E17EF1"/>
    <w:rsid w:val="00E22136"/>
    <w:rsid w:val="00E42C8D"/>
    <w:rsid w:val="00E536F7"/>
    <w:rsid w:val="00E57B31"/>
    <w:rsid w:val="00E6406D"/>
    <w:rsid w:val="00E71A48"/>
    <w:rsid w:val="00E738BB"/>
    <w:rsid w:val="00E8105D"/>
    <w:rsid w:val="00E81B85"/>
    <w:rsid w:val="00E907FA"/>
    <w:rsid w:val="00E95939"/>
    <w:rsid w:val="00E960F0"/>
    <w:rsid w:val="00ED30C6"/>
    <w:rsid w:val="00ED3311"/>
    <w:rsid w:val="00ED4C44"/>
    <w:rsid w:val="00ED5265"/>
    <w:rsid w:val="00ED66BF"/>
    <w:rsid w:val="00ED7A7D"/>
    <w:rsid w:val="00EF1DF3"/>
    <w:rsid w:val="00F116FE"/>
    <w:rsid w:val="00F16DA8"/>
    <w:rsid w:val="00F31435"/>
    <w:rsid w:val="00F3177A"/>
    <w:rsid w:val="00F320A5"/>
    <w:rsid w:val="00F34425"/>
    <w:rsid w:val="00F3459D"/>
    <w:rsid w:val="00F351D1"/>
    <w:rsid w:val="00F55BED"/>
    <w:rsid w:val="00F70332"/>
    <w:rsid w:val="00F96094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BC40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1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105D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E8105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3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DF3"/>
    <w:rPr>
      <w:color w:val="FF00FF" w:themeColor="followedHyperlink"/>
      <w:u w:val="single"/>
    </w:rPr>
  </w:style>
  <w:style w:type="paragraph" w:styleId="Normlnweb">
    <w:name w:val="Normal (Web)"/>
    <w:uiPriority w:val="99"/>
    <w:rsid w:val="00314A45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t&amp;source=web&amp;rct=j&amp;opi=89978449&amp;url=https://www.surao.cz/wp-content/uploads/2023/04/TZ601_2022.pdf&amp;ved=2ahUKEwj84pDGqJaJAxWeR_EDHdzZNgsQFnoECBUQAQ&amp;usg=AOvVaw2NQhR2mbSTUGm6PewSujq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tformaprotiulozisti.cz/cs/press/uz-seste-pruzkumne-uzemi-pro-uloziste-zrusil-soud-obce-a-spolky-opet-vyhraly-nad-nekvalitni-praci-statnich-uredni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n@muhorazdovic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0949-AF1C-41A5-B996-CDA1C884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Forman</dc:creator>
  <cp:lastModifiedBy>Edvard Sequens</cp:lastModifiedBy>
  <cp:revision>7</cp:revision>
  <cp:lastPrinted>2019-08-26T12:23:00Z</cp:lastPrinted>
  <dcterms:created xsi:type="dcterms:W3CDTF">2024-10-17T19:10:00Z</dcterms:created>
  <dcterms:modified xsi:type="dcterms:W3CDTF">2024-10-18T08:58:00Z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